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9215" w14:textId="77777777" w:rsidR="00E23DE5" w:rsidRDefault="00515095" w:rsidP="00544A6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B296D">
        <w:rPr>
          <w:rFonts w:ascii="Calibri" w:hAnsi="Calibri" w:cs="Calibri"/>
          <w:b/>
          <w:bCs/>
          <w:sz w:val="28"/>
          <w:szCs w:val="28"/>
          <w:u w:val="single"/>
        </w:rPr>
        <w:t>Burmistrz Miasta Puck</w:t>
      </w:r>
    </w:p>
    <w:p w14:paraId="3D353347" w14:textId="55BF6078" w:rsidR="00544A6C" w:rsidRDefault="00544A6C" w:rsidP="00544A6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Ogłasza </w:t>
      </w:r>
      <w:r w:rsidR="00882433">
        <w:rPr>
          <w:rFonts w:ascii="Calibri" w:hAnsi="Calibri" w:cs="Calibri"/>
          <w:b/>
          <w:bCs/>
          <w:sz w:val="28"/>
          <w:szCs w:val="28"/>
          <w:u w:val="single"/>
        </w:rPr>
        <w:t>drugi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publiczny przetarg ustny nieograniczony</w:t>
      </w:r>
    </w:p>
    <w:p w14:paraId="3CFD0A2D" w14:textId="77777777" w:rsidR="00EE49B6" w:rsidRPr="00DF580B" w:rsidRDefault="00544A6C" w:rsidP="00DF580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na </w:t>
      </w:r>
      <w:r w:rsidR="00EE7F9D">
        <w:rPr>
          <w:rFonts w:ascii="Calibri" w:hAnsi="Calibri" w:cs="Calibri"/>
          <w:b/>
          <w:bCs/>
          <w:sz w:val="28"/>
          <w:szCs w:val="28"/>
          <w:u w:val="single"/>
        </w:rPr>
        <w:t>najem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nieruchomości stanowiącej własność Gminy Miasta Puck położonej w Pucku </w:t>
      </w:r>
    </w:p>
    <w:p w14:paraId="527C42F4" w14:textId="77777777" w:rsidR="00844A2F" w:rsidRPr="003B296D" w:rsidRDefault="00EE49B6" w:rsidP="00EE49B6">
      <w:pPr>
        <w:rPr>
          <w:rFonts w:ascii="Calibri" w:hAnsi="Calibri" w:cs="Calibri"/>
        </w:rPr>
      </w:pPr>
      <w:r w:rsidRPr="003B296D">
        <w:rPr>
          <w:rFonts w:ascii="Calibri" w:hAnsi="Calibri" w:cs="Calibri"/>
        </w:rPr>
        <w:t xml:space="preserve"> </w:t>
      </w:r>
    </w:p>
    <w:tbl>
      <w:tblPr>
        <w:tblW w:w="5027" w:type="pc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3"/>
        <w:gridCol w:w="1226"/>
        <w:gridCol w:w="1878"/>
        <w:gridCol w:w="1472"/>
        <w:gridCol w:w="1264"/>
        <w:gridCol w:w="1071"/>
        <w:gridCol w:w="1922"/>
      </w:tblGrid>
      <w:tr w:rsidR="006F39A6" w:rsidRPr="003B296D" w14:paraId="297DEAC6" w14:textId="77777777" w:rsidTr="00FE553D">
        <w:trPr>
          <w:tblHeader/>
        </w:trPr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042165FB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Opis nieruchomości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105211C6" w14:textId="77777777" w:rsidR="00CB276C" w:rsidRPr="00FE553D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0"/>
              </w:rPr>
            </w:pPr>
            <w:r w:rsidRPr="00FE553D">
              <w:rPr>
                <w:rFonts w:ascii="Calibri" w:hAnsi="Calibri" w:cs="Calibri"/>
                <w:i w:val="0"/>
                <w:iCs w:val="0"/>
                <w:sz w:val="20"/>
              </w:rPr>
              <w:t>Powierzchnia</w:t>
            </w:r>
          </w:p>
          <w:p w14:paraId="37808643" w14:textId="77777777" w:rsidR="00CB276C" w:rsidRPr="006F39A6" w:rsidRDefault="00906C35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ł</w:t>
            </w:r>
            <w:r w:rsidR="00CB276C"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ączna</w:t>
            </w: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lokalu</w:t>
            </w:r>
            <w:r w:rsidR="00FE553D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użytkowego</w:t>
            </w: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</w:t>
            </w:r>
          </w:p>
        </w:tc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58AB8E0E" w14:textId="77777777" w:rsidR="00CB276C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Położenie nieruchomości</w:t>
            </w:r>
          </w:p>
          <w:p w14:paraId="4875A77F" w14:textId="77777777" w:rsidR="006F4746" w:rsidRPr="006F39A6" w:rsidRDefault="006F4746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adres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64A78901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Sposób zagospodarowania</w:t>
            </w:r>
          </w:p>
          <w:p w14:paraId="0A3FCB5A" w14:textId="77777777" w:rsidR="00CB276C" w:rsidRPr="006F39A6" w:rsidRDefault="00906C35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lokalu użytkowego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C68E2F5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Okres dzierżawy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ED7B1BC" w14:textId="77777777" w:rsidR="00CB276C" w:rsidRPr="006F39A6" w:rsidRDefault="00913004" w:rsidP="00844A2F">
            <w:pPr>
              <w:pStyle w:val="Nagwektabeli"/>
              <w:snapToGrid w:val="0"/>
              <w:ind w:left="-55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Wysokość </w:t>
            </w:r>
          </w:p>
          <w:p w14:paraId="63CA663E" w14:textId="77777777" w:rsidR="00913004" w:rsidRPr="006F39A6" w:rsidRDefault="00913004" w:rsidP="00844A2F">
            <w:pPr>
              <w:pStyle w:val="Nagwektabeli"/>
              <w:snapToGrid w:val="0"/>
              <w:ind w:left="-55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wadium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6C1368E" w14:textId="77777777" w:rsidR="00CB276C" w:rsidRPr="006F39A6" w:rsidRDefault="006F4746" w:rsidP="00844A2F">
            <w:pPr>
              <w:pStyle w:val="Nagwektabeli"/>
              <w:snapToGrid w:val="0"/>
              <w:ind w:left="-55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Wywoławcza k</w:t>
            </w:r>
            <w:r w:rsidR="00EC55AF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wota</w:t>
            </w:r>
            <w:r w:rsidR="00CB276C"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czynszu dzierżawnego</w:t>
            </w:r>
          </w:p>
          <w:p w14:paraId="1D56E438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 stosunku miesięcznym</w:t>
            </w:r>
          </w:p>
        </w:tc>
      </w:tr>
      <w:tr w:rsidR="006F39A6" w:rsidRPr="003B296D" w14:paraId="66027BE2" w14:textId="77777777" w:rsidTr="00FE553D">
        <w:trPr>
          <w:trHeight w:val="1196"/>
        </w:trPr>
        <w:tc>
          <w:tcPr>
            <w:tcW w:w="80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46AC5" w14:textId="77777777" w:rsidR="00CB276C" w:rsidRPr="00360BE2" w:rsidRDefault="00F23DE9" w:rsidP="00360BE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Lokal znajduje się na c</w:t>
            </w:r>
            <w:r w:rsidR="00ED4921" w:rsidRPr="00360BE2">
              <w:rPr>
                <w:rFonts w:ascii="Calibri" w:hAnsi="Calibri" w:cs="Calibri"/>
                <w:sz w:val="18"/>
                <w:szCs w:val="18"/>
              </w:rPr>
              <w:t xml:space="preserve">zęść działki o nr </w:t>
            </w:r>
            <w:r w:rsidR="00965377">
              <w:rPr>
                <w:rFonts w:ascii="Calibri" w:hAnsi="Calibri" w:cs="Calibri"/>
                <w:sz w:val="18"/>
                <w:szCs w:val="18"/>
              </w:rPr>
              <w:t>68</w:t>
            </w:r>
            <w:r w:rsidR="00ED4921" w:rsidRPr="00360BE2">
              <w:rPr>
                <w:rFonts w:ascii="Calibri" w:hAnsi="Calibri" w:cs="Calibri"/>
                <w:sz w:val="18"/>
                <w:szCs w:val="18"/>
              </w:rPr>
              <w:t xml:space="preserve"> (obr.2m.4) KW </w:t>
            </w:r>
            <w:r w:rsidR="00965377" w:rsidRPr="00965377">
              <w:rPr>
                <w:rFonts w:ascii="Calibri" w:hAnsi="Calibri" w:cs="Calibri"/>
                <w:sz w:val="18"/>
                <w:szCs w:val="18"/>
              </w:rPr>
              <w:t>GD2W/00049253/7</w:t>
            </w:r>
          </w:p>
        </w:tc>
        <w:tc>
          <w:tcPr>
            <w:tcW w:w="583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0F449" w14:textId="77777777" w:rsidR="00CB276C" w:rsidRPr="00360BE2" w:rsidRDefault="00CB276C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0DC883DE" w14:textId="77777777" w:rsidR="00CB276C" w:rsidRPr="00360BE2" w:rsidRDefault="00965377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46,90</w:t>
            </w:r>
            <w:r w:rsidR="00ED4921" w:rsidRPr="00360B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032A2" w:rsidRPr="00360BE2">
              <w:rPr>
                <w:rFonts w:ascii="Calibri" w:eastAsia="Times New Roman" w:hAnsi="Calibri" w:cs="Calibri"/>
                <w:sz w:val="18"/>
                <w:szCs w:val="18"/>
              </w:rPr>
              <w:t>m</w:t>
            </w:r>
            <w:r w:rsidR="007032A2" w:rsidRPr="00360BE2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3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78BFA" w14:textId="77777777" w:rsidR="00CB276C" w:rsidRPr="00360BE2" w:rsidRDefault="007032A2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60BE2">
              <w:rPr>
                <w:rFonts w:ascii="Calibri" w:eastAsia="Times New Roman" w:hAnsi="Calibri" w:cs="Calibri"/>
                <w:sz w:val="18"/>
                <w:szCs w:val="18"/>
              </w:rPr>
              <w:t xml:space="preserve">Lokal użytkowym przy ul. </w:t>
            </w:r>
            <w:r w:rsidR="00965377" w:rsidRPr="00965377">
              <w:rPr>
                <w:rFonts w:ascii="Calibri" w:eastAsia="Times New Roman" w:hAnsi="Calibri" w:cs="Calibri"/>
                <w:sz w:val="18"/>
                <w:szCs w:val="18"/>
              </w:rPr>
              <w:t xml:space="preserve">Pokoju 6 w Pucku </w:t>
            </w:r>
            <w:r w:rsidRPr="00360BE2">
              <w:rPr>
                <w:rFonts w:ascii="Calibri" w:eastAsia="Times New Roman" w:hAnsi="Calibri" w:cs="Calibri"/>
                <w:sz w:val="18"/>
                <w:szCs w:val="18"/>
              </w:rPr>
              <w:t>na parterze budynku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1D5BA" w14:textId="77777777" w:rsidR="00CB276C" w:rsidRPr="00360BE2" w:rsidRDefault="00CB276C" w:rsidP="00913004">
            <w:pPr>
              <w:pStyle w:val="Tekstpodstawowywcity"/>
              <w:tabs>
                <w:tab w:val="left" w:pos="360"/>
              </w:tabs>
              <w:snapToGrid w:val="0"/>
              <w:spacing w:line="200" w:lineRule="atLeast"/>
              <w:ind w:firstLine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360BE2">
              <w:rPr>
                <w:rFonts w:ascii="Calibri" w:eastAsia="Times New Roman" w:hAnsi="Calibri" w:cs="Calibri"/>
                <w:sz w:val="18"/>
                <w:szCs w:val="22"/>
              </w:rPr>
              <w:t>Przeznaczenie na cele handlowo-usługowe</w:t>
            </w:r>
          </w:p>
        </w:tc>
        <w:tc>
          <w:tcPr>
            <w:tcW w:w="60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9B12D98" w14:textId="77777777" w:rsidR="00CB276C" w:rsidRPr="00360BE2" w:rsidRDefault="00CB276C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0D2EDEB6" w14:textId="77777777" w:rsidR="00CB276C" w:rsidRPr="00360BE2" w:rsidRDefault="00CB276C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60BE2">
              <w:rPr>
                <w:rFonts w:ascii="Calibri" w:hAnsi="Calibri" w:cs="Calibri"/>
                <w:sz w:val="20"/>
              </w:rPr>
              <w:t>Nieoznaczony</w:t>
            </w:r>
          </w:p>
        </w:tc>
        <w:tc>
          <w:tcPr>
            <w:tcW w:w="509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22B253" w14:textId="3E8E0C49" w:rsidR="00913004" w:rsidRPr="00360BE2" w:rsidRDefault="0040682A" w:rsidP="00360BE2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  <w:r w:rsidR="00752F3F" w:rsidRPr="00360BE2">
              <w:rPr>
                <w:rFonts w:ascii="Calibri" w:hAnsi="Calibri" w:cs="Calibri"/>
                <w:sz w:val="20"/>
                <w:szCs w:val="20"/>
              </w:rPr>
              <w:t>,00 zł</w:t>
            </w:r>
          </w:p>
        </w:tc>
        <w:tc>
          <w:tcPr>
            <w:tcW w:w="9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1FFB90" w14:textId="77777777" w:rsidR="00CB276C" w:rsidRPr="00360BE2" w:rsidRDefault="00965377" w:rsidP="00ED4921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1172,50</w:t>
            </w:r>
            <w:r w:rsidR="00CB276C" w:rsidRPr="00360BE2">
              <w:rPr>
                <w:rFonts w:ascii="Calibri" w:hAnsi="Calibri" w:cs="Calibri"/>
                <w:sz w:val="20"/>
                <w:szCs w:val="20"/>
              </w:rPr>
              <w:t xml:space="preserve">  zł netto</w:t>
            </w:r>
          </w:p>
        </w:tc>
      </w:tr>
      <w:tr w:rsidR="00913004" w:rsidRPr="007D50C7" w14:paraId="03F29282" w14:textId="77777777" w:rsidTr="00FE553D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576C44" w14:textId="77777777" w:rsidR="00913004" w:rsidRPr="007D50C7" w:rsidRDefault="00ED46D3" w:rsidP="0015235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 w:rsidRPr="007D50C7">
              <w:rPr>
                <w:rFonts w:ascii="Calibri" w:hAnsi="Calibri" w:cs="Calibri"/>
                <w:sz w:val="20"/>
                <w:vertAlign w:val="superscript"/>
              </w:rPr>
              <w:t xml:space="preserve">Termin przetargu: 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E1226E" w14:textId="69DEBF9A" w:rsidR="00913004" w:rsidRPr="007D50C7" w:rsidRDefault="00882433" w:rsidP="00152352">
            <w:pPr>
              <w:pStyle w:val="NormalnyWeb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882433">
              <w:rPr>
                <w:rFonts w:ascii="Calibri" w:hAnsi="Calibri" w:cs="Calibri"/>
                <w:b/>
                <w:sz w:val="20"/>
                <w:szCs w:val="20"/>
              </w:rPr>
              <w:t>29.11. 2023 r., godz. 12.00</w:t>
            </w:r>
          </w:p>
        </w:tc>
      </w:tr>
      <w:tr w:rsidR="00913004" w:rsidRPr="007D50C7" w14:paraId="7BAB5352" w14:textId="77777777" w:rsidTr="00FE553D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B2FB7" w14:textId="77777777" w:rsidR="00913004" w:rsidRPr="007D50C7" w:rsidRDefault="007236BE" w:rsidP="0015235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 w:rsidRPr="007D50C7">
              <w:rPr>
                <w:rFonts w:ascii="Calibri" w:hAnsi="Calibri" w:cs="Calibri"/>
                <w:sz w:val="20"/>
                <w:vertAlign w:val="superscript"/>
              </w:rPr>
              <w:t>Miejsce przetargu: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923295" w14:textId="77777777" w:rsidR="00913004" w:rsidRPr="007D50C7" w:rsidRDefault="007236BE" w:rsidP="007236BE">
            <w:pPr>
              <w:pStyle w:val="NormalnyWeb"/>
              <w:ind w:left="11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0C7">
              <w:rPr>
                <w:rFonts w:ascii="Calibri" w:hAnsi="Calibri" w:cs="Calibri"/>
                <w:b/>
                <w:sz w:val="20"/>
                <w:szCs w:val="20"/>
              </w:rPr>
              <w:t>Urząd Miasta Puck</w:t>
            </w:r>
            <w:r w:rsidR="002B0380" w:rsidRPr="007D50C7">
              <w:rPr>
                <w:rFonts w:ascii="Calibri" w:hAnsi="Calibri" w:cs="Calibri"/>
                <w:b/>
                <w:sz w:val="20"/>
                <w:szCs w:val="20"/>
              </w:rPr>
              <w:t xml:space="preserve"> ul. 1</w:t>
            </w:r>
            <w:r w:rsidR="00796AA8" w:rsidRPr="007D50C7">
              <w:rPr>
                <w:rFonts w:ascii="Calibri" w:hAnsi="Calibri" w:cs="Calibri"/>
                <w:b/>
                <w:sz w:val="20"/>
                <w:szCs w:val="20"/>
              </w:rPr>
              <w:t>-go</w:t>
            </w:r>
            <w:r w:rsidR="002B0380" w:rsidRPr="007D50C7">
              <w:rPr>
                <w:rFonts w:ascii="Calibri" w:hAnsi="Calibri" w:cs="Calibri"/>
                <w:b/>
                <w:sz w:val="20"/>
                <w:szCs w:val="20"/>
              </w:rPr>
              <w:t xml:space="preserve"> Maja 13, sala nr </w:t>
            </w:r>
            <w:r w:rsidR="007032A2" w:rsidRPr="007D50C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="00BD6089" w:rsidRPr="007D50C7">
              <w:rPr>
                <w:rFonts w:ascii="Calibri" w:hAnsi="Calibri" w:cs="Calibri"/>
                <w:b/>
                <w:sz w:val="20"/>
                <w:szCs w:val="20"/>
              </w:rPr>
              <w:t>5 I piętro</w:t>
            </w:r>
          </w:p>
        </w:tc>
      </w:tr>
    </w:tbl>
    <w:p w14:paraId="2193B122" w14:textId="77777777" w:rsidR="00882433" w:rsidRPr="001C53F6" w:rsidRDefault="00882433" w:rsidP="00882433">
      <w:pPr>
        <w:widowControl/>
        <w:spacing w:after="120" w:line="360" w:lineRule="auto"/>
        <w:ind w:right="-468"/>
        <w:rPr>
          <w:rFonts w:asciiTheme="minorHAnsi" w:eastAsia="Times New Roman" w:hAnsiTheme="minorHAnsi" w:cstheme="minorHAnsi"/>
          <w:sz w:val="20"/>
        </w:rPr>
      </w:pPr>
      <w:r w:rsidRPr="001C53F6">
        <w:rPr>
          <w:rFonts w:asciiTheme="minorHAnsi" w:eastAsia="Times New Roman" w:hAnsiTheme="minorHAnsi" w:cstheme="minorHAnsi"/>
          <w:sz w:val="20"/>
        </w:rPr>
        <w:t>Pierwszy p</w:t>
      </w:r>
      <w:r w:rsidR="00C12D21" w:rsidRPr="001C53F6">
        <w:rPr>
          <w:rFonts w:asciiTheme="minorHAnsi" w:eastAsia="Times New Roman" w:hAnsiTheme="minorHAnsi" w:cstheme="minorHAnsi"/>
          <w:sz w:val="20"/>
        </w:rPr>
        <w:t>rzetarg od</w:t>
      </w:r>
      <w:r w:rsidRPr="001C53F6">
        <w:rPr>
          <w:rFonts w:asciiTheme="minorHAnsi" w:eastAsia="Times New Roman" w:hAnsiTheme="minorHAnsi" w:cstheme="minorHAnsi"/>
          <w:sz w:val="20"/>
        </w:rPr>
        <w:t>był</w:t>
      </w:r>
      <w:r w:rsidR="00C12D21" w:rsidRPr="001C53F6">
        <w:rPr>
          <w:rFonts w:asciiTheme="minorHAnsi" w:eastAsia="Times New Roman" w:hAnsiTheme="minorHAnsi" w:cstheme="minorHAnsi"/>
          <w:sz w:val="20"/>
        </w:rPr>
        <w:t xml:space="preserve"> się dnia </w:t>
      </w:r>
      <w:r w:rsidR="00EF607F" w:rsidRPr="001C53F6">
        <w:rPr>
          <w:rFonts w:asciiTheme="minorHAnsi" w:eastAsia="Times New Roman" w:hAnsiTheme="minorHAnsi" w:cstheme="minorHAnsi"/>
          <w:sz w:val="20"/>
        </w:rPr>
        <w:t>15</w:t>
      </w:r>
      <w:r w:rsidR="00C12D21" w:rsidRPr="001C53F6">
        <w:rPr>
          <w:rFonts w:asciiTheme="minorHAnsi" w:eastAsia="Times New Roman" w:hAnsiTheme="minorHAnsi" w:cstheme="minorHAnsi"/>
          <w:sz w:val="20"/>
        </w:rPr>
        <w:t>.0</w:t>
      </w:r>
      <w:r w:rsidR="001C080E" w:rsidRPr="001C53F6">
        <w:rPr>
          <w:rFonts w:asciiTheme="minorHAnsi" w:eastAsia="Times New Roman" w:hAnsiTheme="minorHAnsi" w:cstheme="minorHAnsi"/>
          <w:sz w:val="20"/>
        </w:rPr>
        <w:t>9</w:t>
      </w:r>
      <w:r w:rsidR="00C12D21" w:rsidRPr="001C53F6">
        <w:rPr>
          <w:rFonts w:asciiTheme="minorHAnsi" w:eastAsia="Times New Roman" w:hAnsiTheme="minorHAnsi" w:cstheme="minorHAnsi"/>
          <w:sz w:val="20"/>
        </w:rPr>
        <w:t>.202</w:t>
      </w:r>
      <w:r w:rsidR="007032A2" w:rsidRPr="001C53F6">
        <w:rPr>
          <w:rFonts w:asciiTheme="minorHAnsi" w:eastAsia="Times New Roman" w:hAnsiTheme="minorHAnsi" w:cstheme="minorHAnsi"/>
          <w:sz w:val="20"/>
        </w:rPr>
        <w:t>3</w:t>
      </w:r>
      <w:r w:rsidR="00C12D21" w:rsidRPr="001C53F6">
        <w:rPr>
          <w:rFonts w:asciiTheme="minorHAnsi" w:eastAsia="Times New Roman" w:hAnsiTheme="minorHAnsi" w:cstheme="minorHAnsi"/>
          <w:sz w:val="20"/>
        </w:rPr>
        <w:t xml:space="preserve"> r. w Urzędzie Miasta Puck</w:t>
      </w:r>
    </w:p>
    <w:p w14:paraId="3449115F" w14:textId="536CFE8A" w:rsidR="00C12D21" w:rsidRPr="00882433" w:rsidRDefault="00882433" w:rsidP="00882433">
      <w:pPr>
        <w:widowControl/>
        <w:spacing w:after="120" w:line="360" w:lineRule="auto"/>
        <w:ind w:right="-468"/>
        <w:rPr>
          <w:rFonts w:asciiTheme="minorHAnsi" w:eastAsia="Times New Roman" w:hAnsiTheme="minorHAnsi" w:cstheme="minorHAnsi"/>
          <w:szCs w:val="24"/>
        </w:rPr>
      </w:pPr>
      <w:r w:rsidRPr="00882433">
        <w:rPr>
          <w:rFonts w:asciiTheme="minorHAnsi" w:eastAsia="Times New Roman" w:hAnsiTheme="minorHAnsi" w:cstheme="minorHAnsi"/>
          <w:b/>
          <w:bCs/>
          <w:szCs w:val="24"/>
          <w:u w:val="single"/>
        </w:rPr>
        <w:t>Drugi przetarg odbędzie się dnia 29.11. 2023 r., godz. 12.00w Urzędzie Miasta Puck (sala 115)</w:t>
      </w:r>
    </w:p>
    <w:p w14:paraId="722C46F2" w14:textId="77777777" w:rsidR="000E32CE" w:rsidRPr="00882433" w:rsidRDefault="000E32CE" w:rsidP="00A575D1">
      <w:pPr>
        <w:pStyle w:val="Bezodstpw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82433">
        <w:rPr>
          <w:rFonts w:asciiTheme="minorHAnsi" w:eastAsia="Times New Roman" w:hAnsiTheme="minorHAnsi" w:cstheme="minorHAnsi"/>
          <w:b/>
          <w:sz w:val="22"/>
          <w:szCs w:val="22"/>
        </w:rPr>
        <w:t>OPIS LOKALU:</w:t>
      </w:r>
    </w:p>
    <w:p w14:paraId="27AA9F29" w14:textId="77777777" w:rsidR="000E32CE" w:rsidRPr="000E32CE" w:rsidRDefault="000E32CE" w:rsidP="000E32CE">
      <w:pPr>
        <w:pStyle w:val="Bezodstpw"/>
        <w:ind w:left="720"/>
        <w:jc w:val="both"/>
        <w:rPr>
          <w:rFonts w:eastAsia="Times New Roman"/>
          <w:b/>
          <w:color w:val="000000"/>
          <w:sz w:val="22"/>
          <w:szCs w:val="22"/>
        </w:rPr>
      </w:pPr>
    </w:p>
    <w:tbl>
      <w:tblPr>
        <w:tblW w:w="4758" w:type="pc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4"/>
        <w:gridCol w:w="6306"/>
      </w:tblGrid>
      <w:tr w:rsidR="004618C1" w:rsidRPr="007236BE" w14:paraId="4885B6AB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A8BB70" w14:textId="77777777" w:rsidR="004618C1" w:rsidRPr="00184EE7" w:rsidRDefault="004618C1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Adres,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A5D4" w14:textId="77777777" w:rsidR="004618C1" w:rsidRPr="00184EE7" w:rsidRDefault="00A512E4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 xml:space="preserve">Puck, ul. </w:t>
            </w:r>
            <w:r w:rsidR="00C14462">
              <w:rPr>
                <w:rFonts w:ascii="Calibri" w:hAnsi="Calibri" w:cs="Calibri"/>
              </w:rPr>
              <w:t>Pokoju 6</w:t>
            </w:r>
          </w:p>
        </w:tc>
      </w:tr>
      <w:tr w:rsidR="004618C1" w:rsidRPr="007236BE" w14:paraId="095DD5CE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BD9350" w14:textId="77777777" w:rsidR="004618C1" w:rsidRPr="00184EE7" w:rsidRDefault="006538E0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4618C1" w:rsidRPr="00184EE7">
              <w:rPr>
                <w:rFonts w:ascii="Calibri" w:hAnsi="Calibri" w:cs="Calibri"/>
                <w:b/>
                <w:sz w:val="22"/>
                <w:szCs w:val="22"/>
              </w:rPr>
              <w:t>ow.</w:t>
            </w:r>
            <w:r w:rsidR="004618C1" w:rsidRPr="00184EE7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 w:rsidR="009E28F6" w:rsidRPr="00184EE7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najmu łącznie </w:t>
            </w:r>
            <w:r w:rsidR="004618C1"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="004618C1" w:rsidRPr="00184EE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[m</w:t>
            </w:r>
            <w:r w:rsidR="004618C1" w:rsidRPr="00184EE7">
              <w:rPr>
                <w:rFonts w:ascii="Calibri" w:hAnsi="Calibri" w:cs="Calibri"/>
                <w:b/>
                <w:spacing w:val="-4"/>
                <w:sz w:val="22"/>
                <w:szCs w:val="22"/>
                <w:vertAlign w:val="superscript"/>
              </w:rPr>
              <w:t>2</w:t>
            </w:r>
            <w:r w:rsidR="004618C1" w:rsidRPr="00184EE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]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20F" w14:textId="77777777" w:rsidR="004618C1" w:rsidRPr="00184EE7" w:rsidRDefault="00C14462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46,90</w:t>
            </w:r>
            <w:r w:rsidR="009E28F6" w:rsidRPr="00184EE7">
              <w:rPr>
                <w:rFonts w:ascii="Calibri" w:hAnsi="Calibri" w:cs="Calibri"/>
              </w:rPr>
              <w:t xml:space="preserve"> m</w:t>
            </w:r>
            <w:r w:rsidR="009E28F6" w:rsidRPr="00184EE7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618C1" w:rsidRPr="007236BE" w14:paraId="5AEA179F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DFF6D5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Oznaczenie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nieruchomości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wg ewidencji gruntów i katastru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2FA7" w14:textId="77777777" w:rsidR="004618C1" w:rsidRPr="00184EE7" w:rsidRDefault="009E28F6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 xml:space="preserve">Nr ewidencyjny działki </w:t>
            </w:r>
            <w:r w:rsidR="00C14462">
              <w:rPr>
                <w:rFonts w:ascii="Calibri" w:hAnsi="Calibri" w:cs="Calibri"/>
              </w:rPr>
              <w:t>68</w:t>
            </w:r>
            <w:r w:rsidRPr="00184EE7">
              <w:rPr>
                <w:rFonts w:ascii="Calibri" w:hAnsi="Calibri" w:cs="Calibri"/>
              </w:rPr>
              <w:t xml:space="preserve">, Nr ewidencyjny budynku </w:t>
            </w:r>
            <w:r w:rsidR="000D4C11">
              <w:rPr>
                <w:rFonts w:ascii="Calibri" w:hAnsi="Calibri" w:cs="Calibri"/>
              </w:rPr>
              <w:t>479</w:t>
            </w:r>
            <w:r w:rsidRPr="00184EE7">
              <w:rPr>
                <w:rFonts w:ascii="Calibri" w:hAnsi="Calibri" w:cs="Calibri"/>
              </w:rPr>
              <w:t>, obręb 2.4,</w:t>
            </w:r>
          </w:p>
        </w:tc>
      </w:tr>
      <w:tr w:rsidR="004618C1" w:rsidRPr="007236BE" w14:paraId="5317F8C3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9915A3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Rodzaj</w:t>
            </w:r>
            <w:r w:rsidRPr="00184EE7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budynku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1D" w14:textId="77777777" w:rsidR="004618C1" w:rsidRPr="00184EE7" w:rsidRDefault="00A512E4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  <w:spacing w:val="-2"/>
              </w:rPr>
              <w:t>mieszkalno-użytkowy</w:t>
            </w:r>
          </w:p>
        </w:tc>
      </w:tr>
      <w:tr w:rsidR="004618C1" w:rsidRPr="007236BE" w14:paraId="42877D4C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AF39E3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Budynek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="00AA4E7C"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>Gminnej Ewidencji Zabytków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CA1" w14:textId="77777777" w:rsidR="004618C1" w:rsidRPr="00184EE7" w:rsidRDefault="009B1E2C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  <w:r w:rsidR="00EE7F9D">
              <w:rPr>
                <w:rFonts w:ascii="Calibri" w:hAnsi="Calibri" w:cs="Calibri"/>
              </w:rPr>
              <w:t xml:space="preserve"> - </w:t>
            </w:r>
            <w:r w:rsidR="00EE7F9D" w:rsidRPr="00EE7F9D">
              <w:rPr>
                <w:rFonts w:ascii="Calibri" w:hAnsi="Calibri" w:cs="Calibri"/>
              </w:rPr>
              <w:t xml:space="preserve">Decyzja o wpisie do rejestru zabytków układu </w:t>
            </w:r>
            <w:proofErr w:type="spellStart"/>
            <w:r w:rsidR="00EE7F9D" w:rsidRPr="00EE7F9D">
              <w:rPr>
                <w:rFonts w:ascii="Calibri" w:hAnsi="Calibri" w:cs="Calibri"/>
              </w:rPr>
              <w:t>urbanist</w:t>
            </w:r>
            <w:proofErr w:type="spellEnd"/>
            <w:r w:rsidR="00EE7F9D" w:rsidRPr="00EE7F9D">
              <w:rPr>
                <w:rFonts w:ascii="Calibri" w:hAnsi="Calibri" w:cs="Calibri"/>
              </w:rPr>
              <w:t>. miasta Pucka z 26.09.1977 r., pod nr rejestru 773, nowy nr 873.</w:t>
            </w:r>
          </w:p>
        </w:tc>
      </w:tr>
      <w:tr w:rsidR="004618C1" w:rsidRPr="007236BE" w14:paraId="21394E1A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DE9A29" w14:textId="77777777" w:rsidR="004618C1" w:rsidRPr="00184EE7" w:rsidRDefault="006538E0" w:rsidP="006538E0">
            <w:pPr>
              <w:pStyle w:val="TableParagraph"/>
              <w:spacing w:line="201" w:lineRule="exact"/>
              <w:ind w:left="0"/>
              <w:rPr>
                <w:rFonts w:ascii="Calibri" w:hAnsi="Calibri" w:cs="Calibri"/>
                <w:b/>
              </w:rPr>
            </w:pPr>
            <w:r w:rsidRPr="00184EE7">
              <w:rPr>
                <w:rFonts w:ascii="Calibri" w:hAnsi="Calibri" w:cs="Calibri"/>
                <w:b/>
              </w:rPr>
              <w:t>P</w:t>
            </w:r>
            <w:r w:rsidR="00DC37E6" w:rsidRPr="00184EE7">
              <w:rPr>
                <w:rFonts w:ascii="Calibri" w:hAnsi="Calibri" w:cs="Calibri"/>
                <w:b/>
              </w:rPr>
              <w:t>lanu</w:t>
            </w:r>
            <w:r w:rsidR="00DC37E6" w:rsidRPr="00184EE7">
              <w:rPr>
                <w:rFonts w:ascii="Calibri" w:hAnsi="Calibri" w:cs="Calibri"/>
                <w:b/>
                <w:spacing w:val="-9"/>
              </w:rPr>
              <w:t xml:space="preserve"> </w:t>
            </w:r>
            <w:proofErr w:type="spellStart"/>
            <w:r w:rsidR="00DC37E6" w:rsidRPr="00184EE7">
              <w:rPr>
                <w:rFonts w:ascii="Calibri" w:hAnsi="Calibri" w:cs="Calibri"/>
                <w:b/>
                <w:spacing w:val="-2"/>
              </w:rPr>
              <w:t>zagospod</w:t>
            </w:r>
            <w:proofErr w:type="spellEnd"/>
            <w:r w:rsidR="00DC37E6" w:rsidRPr="00184EE7">
              <w:rPr>
                <w:rFonts w:ascii="Calibri" w:hAnsi="Calibri" w:cs="Calibri"/>
                <w:b/>
                <w:spacing w:val="-2"/>
              </w:rPr>
              <w:t>.</w:t>
            </w:r>
            <w:r w:rsidR="00A512E4" w:rsidRPr="00184EE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DC37E6" w:rsidRPr="00184EE7">
              <w:rPr>
                <w:rFonts w:ascii="Calibri" w:hAnsi="Calibri" w:cs="Calibri"/>
                <w:b/>
                <w:spacing w:val="-2"/>
              </w:rPr>
              <w:t>przestrzennego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F0A9" w14:textId="77777777" w:rsidR="004618C1" w:rsidRPr="00184EE7" w:rsidRDefault="00A512E4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Nr karty terenu S.</w:t>
            </w:r>
            <w:r w:rsidR="00C14462">
              <w:rPr>
                <w:rFonts w:ascii="Calibri" w:hAnsi="Calibri" w:cs="Calibri"/>
              </w:rPr>
              <w:t>10</w:t>
            </w:r>
            <w:r w:rsidRPr="00184EE7">
              <w:rPr>
                <w:rFonts w:ascii="Calibri" w:hAnsi="Calibri" w:cs="Calibri"/>
              </w:rPr>
              <w:t>.M, U – Tereny śródmiejskiej zabudowy mieszkaniowo -usługowej</w:t>
            </w:r>
          </w:p>
        </w:tc>
      </w:tr>
      <w:tr w:rsidR="004618C1" w:rsidRPr="007236BE" w14:paraId="5B5FA4D0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75F298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Lokalizacja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F11" w14:textId="77777777" w:rsidR="004618C1" w:rsidRPr="00184EE7" w:rsidRDefault="00A512E4" w:rsidP="00594E3F">
            <w:pPr>
              <w:pStyle w:val="TableParagraph"/>
              <w:spacing w:line="227" w:lineRule="exact"/>
              <w:ind w:left="228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lokal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w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budynku</w:t>
            </w:r>
            <w:r w:rsidRPr="00184EE7">
              <w:rPr>
                <w:rFonts w:ascii="Calibri" w:hAnsi="Calibri" w:cs="Calibri"/>
                <w:spacing w:val="-5"/>
              </w:rPr>
              <w:t xml:space="preserve"> </w:t>
            </w:r>
            <w:r w:rsidRPr="00184EE7">
              <w:rPr>
                <w:rFonts w:ascii="Calibri" w:hAnsi="Calibri" w:cs="Calibri"/>
              </w:rPr>
              <w:t xml:space="preserve">mieszkalno-użytkowym, frontowym, wejście do lokalu </w:t>
            </w:r>
            <w:r w:rsidR="00ED4921" w:rsidRPr="00184EE7">
              <w:rPr>
                <w:rFonts w:ascii="Calibri" w:hAnsi="Calibri" w:cs="Calibri"/>
              </w:rPr>
              <w:t>z ulicy</w:t>
            </w:r>
            <w:r w:rsidRPr="00184EE7">
              <w:rPr>
                <w:rFonts w:ascii="Calibri" w:hAnsi="Calibri" w:cs="Calibri"/>
              </w:rPr>
              <w:t>, okna</w:t>
            </w:r>
            <w:r w:rsidR="00ED4921" w:rsidRPr="00184EE7">
              <w:rPr>
                <w:rFonts w:ascii="Calibri" w:hAnsi="Calibri" w:cs="Calibri"/>
              </w:rPr>
              <w:t xml:space="preserve"> (witryna)</w:t>
            </w:r>
            <w:r w:rsidRPr="00184EE7">
              <w:rPr>
                <w:rFonts w:ascii="Calibri" w:hAnsi="Calibri" w:cs="Calibri"/>
              </w:rPr>
              <w:t xml:space="preserve"> od ulicy</w:t>
            </w:r>
            <w:r w:rsidR="009E28F6" w:rsidRPr="00184EE7">
              <w:rPr>
                <w:rFonts w:ascii="Calibri" w:hAnsi="Calibri" w:cs="Calibri"/>
              </w:rPr>
              <w:t xml:space="preserve">. Lokal znajduje się na parterze budynku. Powierzchnia najmu łącznie </w:t>
            </w:r>
            <w:r w:rsidR="005068DB">
              <w:rPr>
                <w:rFonts w:ascii="Calibri" w:hAnsi="Calibri" w:cs="Calibri"/>
              </w:rPr>
              <w:t>46,90</w:t>
            </w:r>
            <w:r w:rsidR="009B1E2C" w:rsidRPr="009B1E2C">
              <w:rPr>
                <w:rFonts w:ascii="Calibri" w:hAnsi="Calibri" w:cs="Calibri"/>
              </w:rPr>
              <w:t xml:space="preserve"> </w:t>
            </w:r>
            <w:r w:rsidR="009E28F6" w:rsidRPr="00184EE7">
              <w:rPr>
                <w:rFonts w:ascii="Calibri" w:hAnsi="Calibri" w:cs="Calibri"/>
              </w:rPr>
              <w:t>m</w:t>
            </w:r>
            <w:r w:rsidR="009E28F6" w:rsidRPr="00184EE7">
              <w:rPr>
                <w:rFonts w:ascii="Calibri" w:hAnsi="Calibri" w:cs="Calibri"/>
                <w:vertAlign w:val="superscript"/>
              </w:rPr>
              <w:t>2</w:t>
            </w:r>
            <w:r w:rsidR="00ED4921" w:rsidRPr="00184EE7">
              <w:rPr>
                <w:rFonts w:ascii="Calibri" w:hAnsi="Calibri" w:cs="Calibri"/>
              </w:rPr>
              <w:t xml:space="preserve">. </w:t>
            </w:r>
            <w:r w:rsidR="009E28F6" w:rsidRPr="00184EE7">
              <w:rPr>
                <w:rFonts w:ascii="Calibri" w:hAnsi="Calibri" w:cs="Calibri"/>
              </w:rPr>
              <w:t xml:space="preserve">Lokal </w:t>
            </w:r>
            <w:r w:rsidR="00E27416">
              <w:rPr>
                <w:rFonts w:ascii="Calibri" w:hAnsi="Calibri" w:cs="Calibri"/>
              </w:rPr>
              <w:t>u</w:t>
            </w:r>
            <w:r w:rsidR="009E28F6" w:rsidRPr="00184EE7">
              <w:rPr>
                <w:rFonts w:ascii="Calibri" w:hAnsi="Calibri" w:cs="Calibri"/>
              </w:rPr>
              <w:t>żytkowy</w:t>
            </w:r>
            <w:r w:rsidR="00674F24" w:rsidRPr="00184EE7">
              <w:rPr>
                <w:rFonts w:ascii="Calibri" w:hAnsi="Calibri" w:cs="Calibri"/>
              </w:rPr>
              <w:t>.</w:t>
            </w:r>
          </w:p>
        </w:tc>
      </w:tr>
      <w:tr w:rsidR="004618C1" w:rsidRPr="007236BE" w14:paraId="048717D7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42A04B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Instalacje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4A31" w14:textId="77777777" w:rsidR="004618C1" w:rsidRPr="00184EE7" w:rsidRDefault="00A512E4" w:rsidP="004618C1">
            <w:pPr>
              <w:pStyle w:val="TableParagraph"/>
              <w:spacing w:line="227" w:lineRule="exact"/>
              <w:ind w:left="276" w:hanging="48"/>
              <w:rPr>
                <w:rFonts w:ascii="Calibri" w:hAnsi="Calibri" w:cs="Calibri"/>
              </w:rPr>
            </w:pPr>
            <w:proofErr w:type="spellStart"/>
            <w:r w:rsidRPr="00184EE7">
              <w:rPr>
                <w:rFonts w:ascii="Calibri" w:hAnsi="Calibri" w:cs="Calibri"/>
              </w:rPr>
              <w:t>wod-kan</w:t>
            </w:r>
            <w:proofErr w:type="spellEnd"/>
            <w:r w:rsidRPr="00184EE7">
              <w:rPr>
                <w:rFonts w:ascii="Calibri" w:hAnsi="Calibri" w:cs="Calibri"/>
              </w:rPr>
              <w:t>,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elektryczna</w:t>
            </w:r>
            <w:r w:rsidR="00FD161F">
              <w:rPr>
                <w:rFonts w:ascii="Calibri" w:hAnsi="Calibri" w:cs="Calibri"/>
              </w:rPr>
              <w:t>.</w:t>
            </w:r>
          </w:p>
        </w:tc>
      </w:tr>
      <w:tr w:rsidR="00DC37E6" w:rsidRPr="007236BE" w14:paraId="45317041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A4502" w14:textId="77777777" w:rsidR="00DC37E6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Branża</w:t>
            </w:r>
            <w:r w:rsidRPr="00184EE7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po</w:t>
            </w:r>
            <w:r w:rsidRPr="00184EE7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przetargu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685" w14:textId="77777777" w:rsidR="00616A8C" w:rsidRDefault="00616A8C" w:rsidP="00D160AD">
            <w:pPr>
              <w:pStyle w:val="TableParagraph"/>
              <w:spacing w:line="227" w:lineRule="exact"/>
              <w:ind w:left="0"/>
              <w:jc w:val="both"/>
              <w:rPr>
                <w:rFonts w:ascii="Calibri" w:hAnsi="Calibri" w:cs="Calibri"/>
                <w:b/>
              </w:rPr>
            </w:pPr>
            <w:r w:rsidRPr="00616A8C">
              <w:rPr>
                <w:rFonts w:ascii="Calibri" w:hAnsi="Calibri" w:cs="Calibri"/>
                <w:b/>
              </w:rPr>
              <w:t>Działalność gospodarcza z wyłączeniem: działalności gastronomicznej, salonów gier, zakładów wzajemnych, usług o charakterze erotycznym, sprzedaży alkoholu w przypadku działalności handlowej, handlu art. spożywczymi jako działalności głównej. Handel art. spożywczymi może stanowić jedynie działalność uzupełniającą do działalności głównej i nie może mieć charakteru dominującego.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D064929" w14:textId="77777777" w:rsidR="00F934AC" w:rsidRPr="00184EE7" w:rsidRDefault="00F934AC" w:rsidP="00D160AD">
            <w:pPr>
              <w:pStyle w:val="TableParagraph"/>
              <w:spacing w:line="227" w:lineRule="exact"/>
              <w:ind w:left="0"/>
              <w:jc w:val="both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  <w:b/>
              </w:rPr>
              <w:t>PREFEROWANA</w:t>
            </w:r>
            <w:r w:rsidRPr="00184EE7">
              <w:rPr>
                <w:rFonts w:ascii="Calibri" w:hAnsi="Calibri" w:cs="Calibri"/>
                <w:b/>
                <w:spacing w:val="-17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DZIAŁALNOŚĆ</w:t>
            </w:r>
            <w:r w:rsidRPr="00184EE7">
              <w:rPr>
                <w:rFonts w:ascii="Calibri" w:hAnsi="Calibri" w:cs="Calibri"/>
                <w:spacing w:val="-11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O</w:t>
            </w:r>
            <w:r w:rsidRPr="00184EE7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WYSOKIM</w:t>
            </w:r>
            <w:r w:rsidRPr="00184EE7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</w:rPr>
              <w:t xml:space="preserve">STANDARDZIE </w:t>
            </w:r>
          </w:p>
        </w:tc>
      </w:tr>
      <w:tr w:rsidR="00F934AC" w:rsidRPr="007236BE" w14:paraId="43E6C33E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AC3699" w14:textId="77777777" w:rsidR="00F934AC" w:rsidRPr="00184EE7" w:rsidRDefault="00F934AC" w:rsidP="00DC37E6">
            <w:pPr>
              <w:pStyle w:val="TableParagraph"/>
              <w:spacing w:line="225" w:lineRule="exact"/>
              <w:jc w:val="center"/>
              <w:rPr>
                <w:rFonts w:ascii="Calibri" w:hAnsi="Calibri" w:cs="Calibri"/>
                <w:b/>
              </w:rPr>
            </w:pPr>
            <w:r w:rsidRPr="00184EE7">
              <w:rPr>
                <w:rFonts w:ascii="Calibri" w:hAnsi="Calibri" w:cs="Calibri"/>
                <w:b/>
              </w:rPr>
              <w:t>Dodatkowe</w:t>
            </w:r>
            <w:r w:rsidRPr="00184EE7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warunki</w:t>
            </w:r>
            <w:r w:rsidRPr="00184EE7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4"/>
              </w:rPr>
              <w:t>dot.</w:t>
            </w:r>
          </w:p>
          <w:p w14:paraId="2DB73BEA" w14:textId="77777777" w:rsidR="00F934AC" w:rsidRPr="00184EE7" w:rsidRDefault="00F934AC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prowadzenia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działalności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lokalu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98D" w14:textId="77777777" w:rsidR="00F934AC" w:rsidRPr="00184EE7" w:rsidRDefault="00F934AC" w:rsidP="00594E3F">
            <w:pPr>
              <w:pStyle w:val="TableParagraph"/>
              <w:spacing w:line="227" w:lineRule="exact"/>
              <w:jc w:val="both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Prowadzona</w:t>
            </w:r>
            <w:r w:rsidRPr="00184EE7">
              <w:rPr>
                <w:rFonts w:ascii="Calibri" w:hAnsi="Calibri" w:cs="Calibri"/>
                <w:spacing w:val="-8"/>
              </w:rPr>
              <w:t xml:space="preserve"> </w:t>
            </w:r>
            <w:r w:rsidRPr="00184EE7">
              <w:rPr>
                <w:rFonts w:ascii="Calibri" w:hAnsi="Calibri" w:cs="Calibri"/>
              </w:rPr>
              <w:t>działalność</w:t>
            </w:r>
            <w:r w:rsidRPr="00184EE7">
              <w:rPr>
                <w:rFonts w:ascii="Calibri" w:hAnsi="Calibri" w:cs="Calibri"/>
                <w:spacing w:val="-2"/>
              </w:rPr>
              <w:t xml:space="preserve"> </w:t>
            </w:r>
            <w:r w:rsidRPr="00184EE7">
              <w:rPr>
                <w:rFonts w:ascii="Calibri" w:hAnsi="Calibri" w:cs="Calibri"/>
              </w:rPr>
              <w:t>nie</w:t>
            </w:r>
            <w:r w:rsidRPr="00184EE7">
              <w:rPr>
                <w:rFonts w:ascii="Calibri" w:hAnsi="Calibri" w:cs="Calibri"/>
                <w:spacing w:val="-8"/>
              </w:rPr>
              <w:t xml:space="preserve"> </w:t>
            </w:r>
            <w:r w:rsidRPr="00184EE7">
              <w:rPr>
                <w:rFonts w:ascii="Calibri" w:hAnsi="Calibri" w:cs="Calibri"/>
              </w:rPr>
              <w:t>może</w:t>
            </w:r>
            <w:r w:rsidRPr="00184EE7">
              <w:rPr>
                <w:rFonts w:ascii="Calibri" w:hAnsi="Calibri" w:cs="Calibri"/>
                <w:spacing w:val="-8"/>
              </w:rPr>
              <w:t xml:space="preserve"> </w:t>
            </w:r>
            <w:r w:rsidRPr="00184EE7">
              <w:rPr>
                <w:rFonts w:ascii="Calibri" w:hAnsi="Calibri" w:cs="Calibri"/>
              </w:rPr>
              <w:t>powodować</w:t>
            </w:r>
            <w:r w:rsidRPr="00184EE7">
              <w:rPr>
                <w:rFonts w:ascii="Calibri" w:hAnsi="Calibri" w:cs="Calibri"/>
                <w:spacing w:val="-2"/>
              </w:rPr>
              <w:t xml:space="preserve"> </w:t>
            </w:r>
            <w:r w:rsidRPr="00184EE7">
              <w:rPr>
                <w:rFonts w:ascii="Calibri" w:hAnsi="Calibri" w:cs="Calibri"/>
              </w:rPr>
              <w:t>uciążliwości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w</w:t>
            </w:r>
            <w:r w:rsidRPr="00184EE7">
              <w:rPr>
                <w:rFonts w:ascii="Calibri" w:hAnsi="Calibri" w:cs="Calibri"/>
                <w:spacing w:val="-10"/>
              </w:rPr>
              <w:t xml:space="preserve"> </w:t>
            </w:r>
            <w:r w:rsidRPr="00184EE7">
              <w:rPr>
                <w:rFonts w:ascii="Calibri" w:hAnsi="Calibri" w:cs="Calibri"/>
              </w:rPr>
              <w:t>funkcjonowaniu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  <w:spacing w:val="-10"/>
              </w:rPr>
              <w:t xml:space="preserve">i </w:t>
            </w:r>
            <w:r w:rsidRPr="00184EE7">
              <w:rPr>
                <w:rFonts w:ascii="Calibri" w:hAnsi="Calibri" w:cs="Calibri"/>
              </w:rPr>
              <w:t>korzystaniu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z</w:t>
            </w:r>
            <w:r w:rsidRPr="00184EE7">
              <w:rPr>
                <w:rFonts w:ascii="Calibri" w:hAnsi="Calibri" w:cs="Calibri"/>
                <w:spacing w:val="-6"/>
              </w:rPr>
              <w:t xml:space="preserve"> </w:t>
            </w:r>
            <w:r w:rsidRPr="00184EE7">
              <w:rPr>
                <w:rFonts w:ascii="Calibri" w:hAnsi="Calibri" w:cs="Calibri"/>
              </w:rPr>
              <w:t>nieruchomości</w:t>
            </w:r>
            <w:r w:rsidRPr="00184EE7">
              <w:rPr>
                <w:rFonts w:ascii="Calibri" w:hAnsi="Calibri" w:cs="Calibri"/>
                <w:spacing w:val="-6"/>
              </w:rPr>
              <w:t xml:space="preserve"> </w:t>
            </w:r>
            <w:r w:rsidRPr="00184EE7">
              <w:rPr>
                <w:rFonts w:ascii="Calibri" w:hAnsi="Calibri" w:cs="Calibri"/>
              </w:rPr>
              <w:t>przez</w:t>
            </w:r>
            <w:r w:rsidRPr="00184EE7">
              <w:rPr>
                <w:rFonts w:ascii="Calibri" w:hAnsi="Calibri" w:cs="Calibri"/>
                <w:spacing w:val="-4"/>
              </w:rPr>
              <w:t xml:space="preserve"> </w:t>
            </w:r>
            <w:r w:rsidRPr="00184EE7">
              <w:rPr>
                <w:rFonts w:ascii="Calibri" w:hAnsi="Calibri" w:cs="Calibri"/>
              </w:rPr>
              <w:t>innych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użytkowników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lub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zakłócać spokoju mieszkańcom poprzez np. hałas, wydzielające się zapachy itp.</w:t>
            </w:r>
          </w:p>
        </w:tc>
      </w:tr>
      <w:tr w:rsidR="00F934AC" w:rsidRPr="007236BE" w14:paraId="0CBB5FD3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DD0661" w14:textId="77777777" w:rsidR="00F934AC" w:rsidRPr="00184EE7" w:rsidRDefault="007417EC" w:rsidP="00DC37E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Remont</w:t>
            </w:r>
            <w:r w:rsidRPr="00184EE7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184EE7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ulepszenia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7D72" w14:textId="77777777" w:rsidR="00F934AC" w:rsidRPr="00184EE7" w:rsidRDefault="005972AF" w:rsidP="00594E3F">
            <w:pPr>
              <w:pStyle w:val="TableParagraph"/>
              <w:spacing w:line="227" w:lineRule="exact"/>
              <w:jc w:val="both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 xml:space="preserve">Prace adaptacyjne i inne związane z urządzeniem oraz wyposażeniem lokalu Najemca wykonuje we własnym zakresie i na własny koszt. </w:t>
            </w:r>
            <w:r w:rsidR="00F934AC" w:rsidRPr="00184EE7">
              <w:rPr>
                <w:rFonts w:ascii="Calibri" w:hAnsi="Calibri" w:cs="Calibri"/>
              </w:rPr>
              <w:t>Remont i ulepszenia</w:t>
            </w:r>
            <w:r w:rsidRPr="00184EE7">
              <w:rPr>
                <w:rFonts w:ascii="Calibri" w:hAnsi="Calibri" w:cs="Calibri"/>
              </w:rPr>
              <w:t xml:space="preserve"> Najemca wykonuje we własnym zakresie i na własny koszt</w:t>
            </w:r>
            <w:r w:rsidR="00F934AC" w:rsidRPr="00184EE7">
              <w:rPr>
                <w:rFonts w:ascii="Calibri" w:hAnsi="Calibri" w:cs="Calibri"/>
              </w:rPr>
              <w:t>, bez dochodzenia</w:t>
            </w:r>
            <w:r w:rsidR="00F934AC" w:rsidRPr="00184EE7">
              <w:rPr>
                <w:rFonts w:ascii="Calibri" w:hAnsi="Calibri" w:cs="Calibri"/>
                <w:spacing w:val="-2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zwrotu</w:t>
            </w:r>
            <w:r w:rsidR="00F934AC" w:rsidRPr="00184EE7">
              <w:rPr>
                <w:rFonts w:ascii="Calibri" w:hAnsi="Calibri" w:cs="Calibri"/>
                <w:spacing w:val="-2"/>
              </w:rPr>
              <w:t xml:space="preserve"> </w:t>
            </w:r>
            <w:r w:rsidR="00463737" w:rsidRPr="00184EE7">
              <w:rPr>
                <w:rFonts w:ascii="Calibri" w:hAnsi="Calibri" w:cs="Calibri"/>
                <w:spacing w:val="-2"/>
              </w:rPr>
              <w:t xml:space="preserve">poniesionych kosztów </w:t>
            </w:r>
            <w:r w:rsidR="00F934AC" w:rsidRPr="00184EE7">
              <w:rPr>
                <w:rFonts w:ascii="Calibri" w:hAnsi="Calibri" w:cs="Calibri"/>
              </w:rPr>
              <w:t>od</w:t>
            </w:r>
            <w:r w:rsidR="00F934AC" w:rsidRPr="00184EE7">
              <w:rPr>
                <w:rFonts w:ascii="Calibri" w:hAnsi="Calibri" w:cs="Calibri"/>
                <w:spacing w:val="-7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lastRenderedPageBreak/>
              <w:t>Wynajmującego</w:t>
            </w:r>
            <w:r w:rsidR="00F934AC" w:rsidRPr="00184EE7">
              <w:rPr>
                <w:rFonts w:ascii="Calibri" w:hAnsi="Calibri" w:cs="Calibri"/>
                <w:spacing w:val="-4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zarówno</w:t>
            </w:r>
            <w:r w:rsidR="00F934AC" w:rsidRPr="00184EE7">
              <w:rPr>
                <w:rFonts w:ascii="Calibri" w:hAnsi="Calibri" w:cs="Calibri"/>
                <w:spacing w:val="-2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w</w:t>
            </w:r>
            <w:r w:rsidR="00F934AC" w:rsidRPr="00184EE7">
              <w:rPr>
                <w:rFonts w:ascii="Calibri" w:hAnsi="Calibri" w:cs="Calibri"/>
                <w:spacing w:val="-6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czasie</w:t>
            </w:r>
            <w:r w:rsidR="00F934AC" w:rsidRPr="00184EE7">
              <w:rPr>
                <w:rFonts w:ascii="Calibri" w:hAnsi="Calibri" w:cs="Calibri"/>
                <w:spacing w:val="-4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trwania</w:t>
            </w:r>
            <w:r w:rsidR="00F934AC" w:rsidRPr="00184EE7">
              <w:rPr>
                <w:rFonts w:ascii="Calibri" w:hAnsi="Calibri" w:cs="Calibri"/>
                <w:spacing w:val="-4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umowy</w:t>
            </w:r>
            <w:r w:rsidR="00F934AC" w:rsidRPr="00184EE7">
              <w:rPr>
                <w:rFonts w:ascii="Calibri" w:hAnsi="Calibri" w:cs="Calibri"/>
                <w:spacing w:val="-7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najmu jak i po jej ustaniu.</w:t>
            </w:r>
          </w:p>
        </w:tc>
      </w:tr>
      <w:tr w:rsidR="00F934AC" w:rsidRPr="003B296D" w14:paraId="0977615A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57DA3A" w14:textId="77777777" w:rsidR="00F934AC" w:rsidRPr="00184EE7" w:rsidRDefault="004020B1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Umówienie</w:t>
            </w:r>
            <w:r w:rsidRPr="00184EE7">
              <w:rPr>
                <w:rFonts w:ascii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ogl</w:t>
            </w:r>
            <w:r w:rsidR="00AA4E7C" w:rsidRPr="00184EE7">
              <w:rPr>
                <w:rFonts w:ascii="Calibri" w:hAnsi="Calibri" w:cs="Calibri"/>
                <w:b/>
                <w:sz w:val="22"/>
                <w:szCs w:val="22"/>
              </w:rPr>
              <w:t>ędzin</w:t>
            </w:r>
            <w:r w:rsidRPr="00184EE7">
              <w:rPr>
                <w:rFonts w:ascii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lokalu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9BDE" w14:textId="77777777" w:rsidR="00F934AC" w:rsidRPr="00184EE7" w:rsidRDefault="005972AF" w:rsidP="005972AF">
            <w:pPr>
              <w:pStyle w:val="NormalnyWeb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/>
                <w:sz w:val="22"/>
                <w:szCs w:val="22"/>
              </w:rPr>
              <w:t>wyłącznie po wcześniejszym telefonicznym umówieniu terminu pod nr tel.: 882 920 778</w:t>
            </w:r>
          </w:p>
        </w:tc>
      </w:tr>
      <w:tr w:rsidR="00F934AC" w:rsidRPr="003B296D" w14:paraId="56C84631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DE7B08" w14:textId="77777777" w:rsidR="00F934AC" w:rsidRPr="00184EE7" w:rsidRDefault="007417EC" w:rsidP="00A232F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Wspólnota</w:t>
            </w:r>
            <w:r w:rsidRPr="00184EE7">
              <w:rPr>
                <w:rFonts w:ascii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mieszkaniowa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ABB" w14:textId="77777777" w:rsidR="00F934AC" w:rsidRPr="00184EE7" w:rsidRDefault="00FD161F" w:rsidP="004020B1">
            <w:pPr>
              <w:pStyle w:val="NormalnyWeb"/>
              <w:ind w:lef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F934AC" w:rsidRPr="003B296D" w14:paraId="3C41B06E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9B2F8" w14:textId="77777777" w:rsidR="00F934AC" w:rsidRPr="00184EE7" w:rsidRDefault="007417EC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Czas</w:t>
            </w:r>
            <w:r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zawarcia</w:t>
            </w:r>
            <w:r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umowy</w:t>
            </w:r>
            <w:r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najmu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C6E3" w14:textId="77777777" w:rsidR="00F934AC" w:rsidRPr="00184EE7" w:rsidRDefault="004020B1" w:rsidP="004020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 xml:space="preserve">W ciągu 1 miesiąca </w:t>
            </w:r>
            <w:r w:rsidR="00463737" w:rsidRPr="00184EE7">
              <w:rPr>
                <w:rFonts w:ascii="Calibri" w:hAnsi="Calibri" w:cs="Calibri"/>
                <w:sz w:val="22"/>
                <w:szCs w:val="22"/>
              </w:rPr>
              <w:t xml:space="preserve">od zamknięcia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>przetargu na czas nieoznaczony</w:t>
            </w:r>
          </w:p>
        </w:tc>
      </w:tr>
      <w:tr w:rsidR="00F934AC" w:rsidRPr="003B296D" w14:paraId="2C789DB2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1A4E1E" w14:textId="77777777" w:rsidR="00F934AC" w:rsidRPr="00184EE7" w:rsidRDefault="00F934AC" w:rsidP="004E4812">
            <w:pPr>
              <w:pStyle w:val="Nagwektabeli"/>
              <w:snapToGrid w:val="0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Okres dzierżawy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CC9" w14:textId="77777777" w:rsidR="00F934AC" w:rsidRPr="00184EE7" w:rsidRDefault="00F934AC" w:rsidP="004E4812">
            <w:pPr>
              <w:pStyle w:val="NormalnyWeb"/>
              <w:ind w:left="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>Nieoznaczony</w:t>
            </w:r>
          </w:p>
        </w:tc>
      </w:tr>
      <w:tr w:rsidR="00F934AC" w:rsidRPr="003B296D" w14:paraId="769E2267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46871D" w14:textId="77777777" w:rsidR="00F934AC" w:rsidRPr="00184EE7" w:rsidRDefault="00F934AC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Wysokość wadium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2804" w14:textId="77777777" w:rsidR="00F934AC" w:rsidRPr="00184EE7" w:rsidRDefault="00F74A0E" w:rsidP="004E4812">
            <w:pPr>
              <w:pStyle w:val="NormalnyWeb"/>
              <w:ind w:left="11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  <w:r w:rsidR="007819E9" w:rsidRPr="007819E9">
              <w:rPr>
                <w:rFonts w:ascii="Calibri" w:hAnsi="Calibri" w:cs="Calibri"/>
                <w:sz w:val="22"/>
                <w:szCs w:val="22"/>
              </w:rPr>
              <w:t xml:space="preserve">,00 </w:t>
            </w:r>
            <w:r w:rsidR="00F934AC" w:rsidRPr="00184EE7">
              <w:rPr>
                <w:rFonts w:ascii="Calibri" w:hAnsi="Calibri" w:cs="Calibri"/>
                <w:sz w:val="22"/>
                <w:szCs w:val="22"/>
              </w:rPr>
              <w:t xml:space="preserve"> zł </w:t>
            </w:r>
          </w:p>
        </w:tc>
      </w:tr>
      <w:tr w:rsidR="00F934AC" w:rsidRPr="003B296D" w14:paraId="13D384A4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9ABA7D" w14:textId="77777777" w:rsidR="007417EC" w:rsidRPr="00184EE7" w:rsidRDefault="007417EC" w:rsidP="007417EC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Wywoławcza kwota czynszu dzierżawnego</w:t>
            </w:r>
          </w:p>
          <w:p w14:paraId="69F104A1" w14:textId="77777777" w:rsidR="00F934AC" w:rsidRPr="00184EE7" w:rsidRDefault="007417EC" w:rsidP="007417EC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w stosunku miesięcznym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8FAB" w14:textId="77777777" w:rsidR="00F934AC" w:rsidRPr="007819E9" w:rsidRDefault="00A5191A" w:rsidP="00ED4921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1 172,</w:t>
            </w:r>
            <w:r w:rsidR="00965377">
              <w:rPr>
                <w:rFonts w:ascii="Calibri" w:hAnsi="Calibri" w:cs="Calibri"/>
                <w:sz w:val="22"/>
                <w:szCs w:val="22"/>
              </w:rPr>
              <w:t>50</w:t>
            </w:r>
            <w:r w:rsidR="007819E9" w:rsidRPr="007819E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934AC" w:rsidRPr="00184EE7">
              <w:rPr>
                <w:rFonts w:ascii="Calibri" w:hAnsi="Calibri" w:cs="Calibri"/>
                <w:sz w:val="22"/>
                <w:szCs w:val="22"/>
              </w:rPr>
              <w:t>zł netto</w:t>
            </w:r>
            <w:r w:rsidR="004020B1" w:rsidRPr="00184EE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  <w:r w:rsidR="007819E9">
              <w:rPr>
                <w:rFonts w:ascii="Calibri" w:hAnsi="Calibri" w:cs="Calibri"/>
                <w:sz w:val="22"/>
                <w:szCs w:val="22"/>
              </w:rPr>
              <w:t xml:space="preserve"> tj. 25,00 zł za m</w:t>
            </w:r>
            <w:r w:rsidR="007819E9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="007819E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934AC" w:rsidRPr="003B296D" w14:paraId="4F638C7A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94422C" w14:textId="77777777" w:rsidR="00F934AC" w:rsidRPr="00184EE7" w:rsidRDefault="00A575D1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 xml:space="preserve">Inne obciążenia poza czynszowe 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D79" w14:textId="77777777" w:rsidR="004020B1" w:rsidRPr="00184EE7" w:rsidRDefault="007417EC" w:rsidP="004020B1">
            <w:pPr>
              <w:pStyle w:val="NormalnyWeb"/>
              <w:ind w:left="11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>Poza czynszem najmu najemca uiszcza, opłaty za energię elektryczną</w:t>
            </w:r>
            <w:r w:rsidR="002167CF" w:rsidRPr="00184EE7">
              <w:rPr>
                <w:rFonts w:ascii="Calibri" w:hAnsi="Calibri" w:cs="Calibri"/>
                <w:sz w:val="22"/>
                <w:szCs w:val="22"/>
              </w:rPr>
              <w:t xml:space="preserve"> według wskazań licznika zainstalowanego przez najemcę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zimną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wodę 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wraz z odbiorem ścieków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>w formie ryczałtu uzgodnionego przez strony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2167CF" w:rsidRPr="00184EE7">
              <w:rPr>
                <w:rFonts w:ascii="Calibri" w:hAnsi="Calibri" w:cs="Calibri"/>
                <w:sz w:val="22"/>
                <w:szCs w:val="22"/>
              </w:rPr>
              <w:t xml:space="preserve">inne 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>opłaty</w:t>
            </w:r>
            <w:r w:rsidR="00AA4E7C" w:rsidRPr="00184EE7">
              <w:rPr>
                <w:rFonts w:ascii="Calibri" w:hAnsi="Calibri" w:cs="Calibri"/>
                <w:sz w:val="22"/>
                <w:szCs w:val="22"/>
              </w:rPr>
              <w:t xml:space="preserve"> abonamentowe</w:t>
            </w:r>
            <w:r w:rsidR="006F7F54" w:rsidRPr="00184EE7">
              <w:rPr>
                <w:rFonts w:ascii="Calibri" w:hAnsi="Calibri" w:cs="Calibri"/>
                <w:sz w:val="22"/>
                <w:szCs w:val="22"/>
              </w:rPr>
              <w:t>.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>Najemca we własnym zakresie podpisuje umowę na odbiór nieczystości stałych.</w:t>
            </w:r>
          </w:p>
        </w:tc>
      </w:tr>
      <w:tr w:rsidR="00F934AC" w:rsidRPr="003B296D" w14:paraId="756BBD13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111623" w14:textId="77777777" w:rsidR="00F934AC" w:rsidRPr="00184EE7" w:rsidRDefault="00A575D1" w:rsidP="004E4812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 xml:space="preserve">Zasady </w:t>
            </w:r>
            <w:r w:rsidR="006538E0"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a</w:t>
            </w: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 xml:space="preserve">ktualizacji czynszu i opłat 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132E" w14:textId="77777777" w:rsidR="00F934AC" w:rsidRPr="00184EE7" w:rsidRDefault="00A575D1" w:rsidP="00A575D1">
            <w:pPr>
              <w:pStyle w:val="NormalnyWeb"/>
              <w:ind w:left="114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 xml:space="preserve">Czynsz płatny będzie miesięcznie zgodnie z terminem określonym w umowie. Do kwoty osiągniętej w przetargu dolicza się podatek VAT w wysokości obowiązującej w dniu podpisania umowy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najmu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. Wysokość czynszu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najmu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 podlegać będzie corocznie waloryzacji zgodnie ze średniorocznym wskaźnikiem cen towarów i usług konsumpcyjnych ogłaszanych przez Prezesa GUS. Ujemny wskaźnik nie powoduje obniżenia wysokości czynszu. Oprócz czynszu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najmu najemca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 zobowiązany jest do ponoszenia wszelkich świadczeń publicznoprawnych związanych z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najmowaną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 nieruchomością</w:t>
            </w:r>
          </w:p>
        </w:tc>
      </w:tr>
      <w:tr w:rsidR="004020B1" w:rsidRPr="003B296D" w14:paraId="556EFF06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417B49" w14:textId="77777777" w:rsidR="004020B1" w:rsidRPr="00184EE7" w:rsidRDefault="00360BE2" w:rsidP="004E4812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UWAGI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8341" w14:textId="77777777" w:rsidR="004020B1" w:rsidRPr="00184EE7" w:rsidRDefault="005068DB" w:rsidP="00A575D1">
            <w:pPr>
              <w:pStyle w:val="NormalnyWeb"/>
              <w:ind w:left="114"/>
              <w:rPr>
                <w:rFonts w:ascii="Calibri" w:hAnsi="Calibri" w:cs="Calibri"/>
                <w:sz w:val="22"/>
                <w:szCs w:val="22"/>
              </w:rPr>
            </w:pPr>
            <w:r w:rsidRPr="005068DB">
              <w:rPr>
                <w:rFonts w:ascii="Calibri" w:hAnsi="Calibri" w:cs="Calibri"/>
                <w:sz w:val="22"/>
                <w:szCs w:val="22"/>
              </w:rPr>
              <w:t>W lokalu brak instalacji grzewczej, ogrzewanie lokalu własnym staraniem.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161F">
              <w:rPr>
                <w:rFonts w:ascii="Calibri" w:hAnsi="Calibri" w:cs="Calibri"/>
                <w:sz w:val="22"/>
                <w:szCs w:val="22"/>
              </w:rPr>
              <w:t xml:space="preserve">Lokal nie posiada wyodrębnionej wentylacji, </w:t>
            </w:r>
            <w:r w:rsidR="007819E9">
              <w:rPr>
                <w:rFonts w:ascii="Calibri" w:hAnsi="Calibri" w:cs="Calibri"/>
                <w:sz w:val="22"/>
                <w:szCs w:val="22"/>
              </w:rPr>
              <w:t xml:space="preserve">zainstalowanie wentylacji na zewnątrz budynku wymaga zgody wspólnoty mieszkaniowej </w:t>
            </w:r>
            <w:r w:rsidR="00F74A0E">
              <w:rPr>
                <w:rFonts w:ascii="Calibri" w:hAnsi="Calibri" w:cs="Calibri"/>
                <w:sz w:val="22"/>
                <w:szCs w:val="22"/>
              </w:rPr>
              <w:t>Pokoju 6</w:t>
            </w:r>
            <w:r w:rsidR="005B6CAC">
              <w:rPr>
                <w:rFonts w:ascii="Calibri" w:hAnsi="Calibri" w:cs="Calibri"/>
                <w:sz w:val="22"/>
                <w:szCs w:val="22"/>
              </w:rPr>
              <w:t xml:space="preserve"> oraz konsultacji z Powiatowym Konserwatorem Zabytków,</w:t>
            </w:r>
            <w:r w:rsidR="007819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161F">
              <w:rPr>
                <w:rFonts w:ascii="Calibri" w:hAnsi="Calibri" w:cs="Calibri"/>
                <w:sz w:val="22"/>
                <w:szCs w:val="22"/>
              </w:rPr>
              <w:t>wysokość lokalu użytkowego</w:t>
            </w:r>
            <w:r w:rsidR="007819E9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="007819E9" w:rsidRPr="007819E9">
              <w:rPr>
                <w:rFonts w:ascii="Calibri" w:hAnsi="Calibri" w:cs="Calibri"/>
                <w:sz w:val="22"/>
                <w:szCs w:val="22"/>
              </w:rPr>
              <w:t xml:space="preserve">2,911 m do </w:t>
            </w:r>
            <w:r w:rsidR="00F74A0E">
              <w:rPr>
                <w:rFonts w:ascii="Calibri" w:hAnsi="Calibri" w:cs="Calibri"/>
                <w:sz w:val="22"/>
                <w:szCs w:val="22"/>
              </w:rPr>
              <w:t>2,97</w:t>
            </w:r>
            <w:r w:rsidR="007819E9" w:rsidRPr="007819E9">
              <w:rPr>
                <w:rFonts w:ascii="Calibri" w:hAnsi="Calibri" w:cs="Calibri"/>
                <w:sz w:val="22"/>
                <w:szCs w:val="22"/>
              </w:rPr>
              <w:t xml:space="preserve"> m, zaplecze – </w:t>
            </w:r>
            <w:r w:rsidR="00F74A0E">
              <w:rPr>
                <w:rFonts w:ascii="Calibri" w:hAnsi="Calibri" w:cs="Calibri"/>
                <w:sz w:val="22"/>
                <w:szCs w:val="22"/>
              </w:rPr>
              <w:t>2,76</w:t>
            </w:r>
            <w:r w:rsidR="007819E9" w:rsidRPr="007819E9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</w:tr>
    </w:tbl>
    <w:p w14:paraId="1E3A5BAE" w14:textId="77777777" w:rsidR="004020B1" w:rsidRPr="004020B1" w:rsidRDefault="004020B1" w:rsidP="004020B1">
      <w:pPr>
        <w:widowControl/>
        <w:suppressAutoHyphens w:val="0"/>
        <w:autoSpaceDE w:val="0"/>
        <w:autoSpaceDN w:val="0"/>
        <w:adjustRightInd w:val="0"/>
        <w:ind w:left="1080"/>
        <w:jc w:val="both"/>
        <w:rPr>
          <w:rFonts w:eastAsia="Times New Roman"/>
          <w:color w:val="000000"/>
          <w:sz w:val="22"/>
          <w:szCs w:val="22"/>
          <w:vertAlign w:val="superscript"/>
        </w:rPr>
      </w:pPr>
    </w:p>
    <w:p w14:paraId="3FDBD52A" w14:textId="47BE96CB" w:rsidR="006538E0" w:rsidRDefault="001653E2" w:rsidP="006538E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hanging="37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Warunkiem przystąpienia do przetargu jest wpłacenie wadium. Wadium w formie gotówkowej </w:t>
      </w:r>
      <w:r w:rsidR="002167CF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w polskich złotych, na konto Urzędu Miasta Puck nr 22 1160 2202 0000 0001 6285 3611  Bank Millennium, w nieprzekraczalnym terminie do dnia </w:t>
      </w:r>
      <w:r w:rsidR="00882433" w:rsidRPr="00882433">
        <w:rPr>
          <w:rFonts w:ascii="Calibri" w:eastAsia="Times New Roman" w:hAnsi="Calibri" w:cs="Calibri"/>
          <w:color w:val="000000"/>
          <w:sz w:val="22"/>
          <w:szCs w:val="22"/>
        </w:rPr>
        <w:t>27.11.2023 r. do godz. 15.00 (liczy się data wpływu na konto)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. Terminem wniesienia wadium określa się datę, </w:t>
      </w:r>
      <w:r w:rsid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do której środki finansowe muszą wpłynąć na podany wyżej rachunek bankowy Urzędu Miasta Puck.</w:t>
      </w:r>
      <w:r w:rsid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F8D7383" w14:textId="77777777" w:rsidR="008346BF" w:rsidRPr="006538E0" w:rsidRDefault="001653E2" w:rsidP="006538E0">
      <w:pPr>
        <w:widowControl/>
        <w:suppressAutoHyphens w:val="0"/>
        <w:autoSpaceDE w:val="0"/>
        <w:autoSpaceDN w:val="0"/>
        <w:adjustRightInd w:val="0"/>
        <w:ind w:left="108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6538E0">
        <w:rPr>
          <w:rFonts w:ascii="Calibri" w:eastAsia="Times New Roman" w:hAnsi="Calibri" w:cs="Calibri"/>
          <w:color w:val="000000"/>
          <w:sz w:val="22"/>
          <w:szCs w:val="22"/>
        </w:rPr>
        <w:t>Wpłacone wadium zalicza się na poczet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 xml:space="preserve">części 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pierwszego </w:t>
      </w:r>
      <w:r w:rsidR="00153E1A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czynszu </w:t>
      </w:r>
      <w:r w:rsidR="00EE7F9D">
        <w:rPr>
          <w:rFonts w:ascii="Calibri" w:eastAsia="Times New Roman" w:hAnsi="Calibri" w:cs="Calibri"/>
          <w:color w:val="000000"/>
          <w:sz w:val="22"/>
          <w:szCs w:val="22"/>
        </w:rPr>
        <w:t>najmu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27416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uzyskanego </w:t>
      </w:r>
      <w:r w:rsidR="00E27416" w:rsidRPr="006538E0">
        <w:rPr>
          <w:rFonts w:ascii="Calibri" w:eastAsia="Times New Roman" w:hAnsi="Calibri" w:cs="Calibri"/>
          <w:color w:val="000000"/>
          <w:sz w:val="22"/>
          <w:szCs w:val="22"/>
        </w:rPr>
        <w:br/>
        <w:t>w przetargu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E27416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za 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>pierwszy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miesiąc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>, natomiast reszta czynszu najmu płatna będzie zgodnie z zapisami w umowie najmu</w:t>
      </w:r>
      <w:r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. Wadium nie podlega zwrotowi w razie uchylenia się uczestnika, który wygrał przetarg, </w:t>
      </w:r>
      <w:r w:rsidR="002167CF" w:rsidRPr="006538E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od zawarcia umowy dzierżawy. Osoby, które wpłaciły wadium, a nie wygrały przetargu otrzymują </w:t>
      </w:r>
      <w:r w:rsidR="002167CF" w:rsidRPr="006538E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6538E0">
        <w:rPr>
          <w:rFonts w:ascii="Calibri" w:eastAsia="Times New Roman" w:hAnsi="Calibri" w:cs="Calibri"/>
          <w:color w:val="000000"/>
          <w:sz w:val="22"/>
          <w:szCs w:val="22"/>
        </w:rPr>
        <w:t>na wniosek zwrot wadium, na wskazany rachunek bankowy.</w:t>
      </w:r>
      <w:r w:rsidR="008346B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20955ED4" w14:textId="77777777" w:rsidR="008346BF" w:rsidRPr="00E40467" w:rsidRDefault="008346BF" w:rsidP="008346BF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Osoby przystępujące do przetargu zobowiązane są przedstawić Komisji Przetargowej dow</w:t>
      </w:r>
      <w:r w:rsidR="002167CF">
        <w:rPr>
          <w:rFonts w:ascii="Calibri" w:hAnsi="Calibri" w:cs="Calibri"/>
          <w:sz w:val="22"/>
          <w:szCs w:val="22"/>
        </w:rPr>
        <w:t>ó</w:t>
      </w:r>
      <w:r w:rsidRPr="00E40467">
        <w:rPr>
          <w:rFonts w:ascii="Calibri" w:hAnsi="Calibri" w:cs="Calibri"/>
          <w:sz w:val="22"/>
          <w:szCs w:val="22"/>
        </w:rPr>
        <w:t>d wpłaty wadium i dokument stwierdzając</w:t>
      </w:r>
      <w:r w:rsidR="002167CF">
        <w:rPr>
          <w:rFonts w:ascii="Calibri" w:hAnsi="Calibri" w:cs="Calibri"/>
          <w:sz w:val="22"/>
          <w:szCs w:val="22"/>
        </w:rPr>
        <w:t>y</w:t>
      </w:r>
      <w:r w:rsidRPr="00E40467">
        <w:rPr>
          <w:rFonts w:ascii="Calibri" w:hAnsi="Calibri" w:cs="Calibri"/>
          <w:sz w:val="22"/>
          <w:szCs w:val="22"/>
        </w:rPr>
        <w:t xml:space="preserve"> tożsamość oraz dodatkowo w przypadku:</w:t>
      </w:r>
    </w:p>
    <w:p w14:paraId="1D63B6C5" w14:textId="77777777" w:rsidR="008346BF" w:rsidRPr="00E40467" w:rsidRDefault="008346BF" w:rsidP="008346BF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– podmiotów innych niż osoby fizyczne konieczne jest przedłożenie aktualnego dokumentu,</w:t>
      </w:r>
      <w:r w:rsidRPr="00E40467">
        <w:rPr>
          <w:rFonts w:ascii="Calibri" w:hAnsi="Calibri" w:cs="Calibri"/>
          <w:sz w:val="22"/>
          <w:szCs w:val="22"/>
        </w:rPr>
        <w:br/>
        <w:t xml:space="preserve">z którego wynika upoważnienie do reprezentowania tego podmiotu (wydruk z Centralnej Informacji Krajowego Rejestru Sądowego lub inny dokument potwierdzający formę prowadzenia działalności </w:t>
      </w:r>
      <w:r w:rsidR="00D160AD">
        <w:rPr>
          <w:rFonts w:ascii="Calibri" w:hAnsi="Calibri" w:cs="Calibri"/>
          <w:sz w:val="22"/>
          <w:szCs w:val="22"/>
        </w:rPr>
        <w:br/>
      </w:r>
      <w:r w:rsidRPr="00E40467">
        <w:rPr>
          <w:rFonts w:ascii="Calibri" w:hAnsi="Calibri" w:cs="Calibri"/>
          <w:sz w:val="22"/>
          <w:szCs w:val="22"/>
        </w:rPr>
        <w:t>i sposób reprezentacji uczestnika przetargu). Jeżeli uczestnik jest reprezentowany przez pełnomocnika, konieczne jest przedłożenie pełnomocnictwa w formie aktu notarialnego;</w:t>
      </w:r>
    </w:p>
    <w:p w14:paraId="15676F8C" w14:textId="77777777" w:rsidR="008346BF" w:rsidRPr="00E40467" w:rsidRDefault="008346BF" w:rsidP="008346BF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 xml:space="preserve">– osoby fizyczne prowadzące działalność gospodarczą przedkładają wydruk z Centralnej Ewidencji </w:t>
      </w:r>
      <w:r w:rsidR="00D160AD">
        <w:rPr>
          <w:rFonts w:ascii="Calibri" w:hAnsi="Calibri" w:cs="Calibri"/>
          <w:sz w:val="22"/>
          <w:szCs w:val="22"/>
        </w:rPr>
        <w:br/>
      </w:r>
      <w:r w:rsidRPr="00E40467">
        <w:rPr>
          <w:rFonts w:ascii="Calibri" w:hAnsi="Calibri" w:cs="Calibri"/>
          <w:sz w:val="22"/>
          <w:szCs w:val="22"/>
        </w:rPr>
        <w:t>i Informacji o Działalności Gospodarczej;</w:t>
      </w:r>
    </w:p>
    <w:p w14:paraId="3C2F0861" w14:textId="77777777" w:rsidR="008346BF" w:rsidRPr="00360BE2" w:rsidRDefault="008346BF" w:rsidP="00360BE2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– pełnomocników osób fizycznych – konieczne jest przedłożenie  pełnomocnictwa w formie aktu notarialnego.</w:t>
      </w:r>
    </w:p>
    <w:p w14:paraId="736145C1" w14:textId="77777777" w:rsidR="00796AA8" w:rsidRPr="00E40467" w:rsidRDefault="001653E2" w:rsidP="00A575D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O wysokości postąpienia decydują uczestnicy przetargu, z zastrzeżeniem, że postąpienie nie może wynosić mniej niż </w:t>
      </w:r>
      <w:r w:rsidR="002167CF">
        <w:rPr>
          <w:rFonts w:ascii="Calibri" w:eastAsia="Times New Roman" w:hAnsi="Calibri" w:cs="Calibri"/>
          <w:color w:val="000000"/>
          <w:sz w:val="22"/>
          <w:szCs w:val="22"/>
        </w:rPr>
        <w:t xml:space="preserve">1% ceny wywoławczej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z zaokrągleniem w górę do pełnych</w:t>
      </w:r>
      <w:r w:rsidR="00EC55AF"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złotych</w:t>
      </w:r>
      <w:r w:rsidR="00FA6E1D">
        <w:rPr>
          <w:rFonts w:ascii="Calibri" w:eastAsia="Times New Roman" w:hAnsi="Calibri" w:cs="Calibri"/>
          <w:color w:val="000000"/>
          <w:sz w:val="22"/>
          <w:szCs w:val="22"/>
        </w:rPr>
        <w:t xml:space="preserve"> tj. </w:t>
      </w:r>
      <w:r w:rsidR="00A21EDE">
        <w:rPr>
          <w:rFonts w:ascii="Calibri" w:eastAsia="Times New Roman" w:hAnsi="Calibri" w:cs="Calibri"/>
          <w:color w:val="000000"/>
          <w:sz w:val="22"/>
          <w:szCs w:val="22"/>
        </w:rPr>
        <w:t>12</w:t>
      </w:r>
      <w:r w:rsidR="00FA6E1D">
        <w:rPr>
          <w:rFonts w:ascii="Calibri" w:eastAsia="Times New Roman" w:hAnsi="Calibri" w:cs="Calibri"/>
          <w:color w:val="000000"/>
          <w:sz w:val="22"/>
          <w:szCs w:val="22"/>
        </w:rPr>
        <w:t>,00 PLN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5BDF91E" w14:textId="77777777" w:rsidR="008346BF" w:rsidRPr="00E40467" w:rsidRDefault="00796AA8" w:rsidP="00A575D1">
      <w:pPr>
        <w:pStyle w:val="Bezodstpw"/>
        <w:numPr>
          <w:ilvl w:val="0"/>
          <w:numId w:val="4"/>
        </w:numPr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Osoby przystępujące do przetargu zobowiązane są przed otwarciem przetargu do złożenia oświadczeń: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="00434D4F" w:rsidRPr="00E40467">
        <w:rPr>
          <w:rFonts w:ascii="Calibri" w:hAnsi="Calibri" w:cs="Calibri"/>
          <w:sz w:val="22"/>
          <w:szCs w:val="22"/>
        </w:rPr>
        <w:br/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o zapoznaniu się z warunkami przetargu; </w:t>
      </w:r>
    </w:p>
    <w:p w14:paraId="140AE56B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potwierdzeniu aktualności i ważności złożonych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dokumentów; </w:t>
      </w:r>
    </w:p>
    <w:p w14:paraId="010FF48B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o zapoznaniu się z uwarunkowaniami zapisanymi w MPZP; </w:t>
      </w:r>
    </w:p>
    <w:p w14:paraId="5C253496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zapoznaniu się z pełną treścią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ogłoszenia o przetargu oraz ze stanem faktycznym i prawnym przedmiotu przetargu, w tym jego stanem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technicznym i funkcjonalnym, i że nie wnoszą z tytułu tego</w:t>
      </w:r>
      <w:r w:rsidR="008346BF" w:rsidRPr="00E40467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stanu żadnych zastrzeżeń i uwag; </w:t>
      </w:r>
    </w:p>
    <w:p w14:paraId="1A5F5243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wyrażeniu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zgody na przetwarzanie danych osobowych; </w:t>
      </w:r>
    </w:p>
    <w:p w14:paraId="55E38544" w14:textId="77777777" w:rsidR="00796AA8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otrzymaniu klauzuli informacyjnej dotyczącej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przetwarzania danych osobowych.</w:t>
      </w:r>
    </w:p>
    <w:p w14:paraId="147C72FF" w14:textId="77777777" w:rsidR="00796AA8" w:rsidRPr="00E40467" w:rsidRDefault="00796AA8" w:rsidP="00A575D1">
      <w:pPr>
        <w:pStyle w:val="Bezodstpw"/>
        <w:numPr>
          <w:ilvl w:val="0"/>
          <w:numId w:val="4"/>
        </w:numPr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Burmistrz Miasta Puck jest upoważniony do żądania od uczestnika przetargu bądź jego przedstawiciela,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danych obejmujących: imię (imiona) i nazwisko, numer PESEL, adres zamieszkania oraz adres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="00955243">
        <w:rPr>
          <w:rFonts w:ascii="Calibri" w:hAnsi="Calibri" w:cs="Calibri"/>
          <w:sz w:val="22"/>
          <w:szCs w:val="22"/>
        </w:rPr>
        <w:br/>
      </w:r>
      <w:r w:rsidRPr="00E40467">
        <w:rPr>
          <w:rStyle w:val="markedcontent"/>
          <w:rFonts w:ascii="Calibri" w:hAnsi="Calibri" w:cs="Calibri"/>
          <w:sz w:val="22"/>
          <w:szCs w:val="22"/>
        </w:rPr>
        <w:t>do doręczeń, w tym adres elektroniczny. W przypadku osoby nieposiadającej obywatelstwa polskiego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zamiast numeru PESEL, Burmistrz Miasta Puck może żądać numeru paszportu lub innego dokumentu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tożsamości.</w:t>
      </w:r>
    </w:p>
    <w:p w14:paraId="05546CB1" w14:textId="77777777" w:rsidR="00DF580B" w:rsidRPr="00E40467" w:rsidRDefault="001653E2" w:rsidP="00A575D1">
      <w:pPr>
        <w:pStyle w:val="Bezodstpw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Umowa zostanie podpisana z Pucką Gospodarka Komunalną Sp. z .o.o., ul. Zamkowa 6, 84-100 Puck </w:t>
      </w:r>
      <w:r w:rsidR="00955243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nie wcześniej niż po 7 dniach od dnia rozstrzygnięcia przetargu. </w:t>
      </w:r>
    </w:p>
    <w:p w14:paraId="12DA83CB" w14:textId="77777777" w:rsidR="004B36DD" w:rsidRPr="00E40467" w:rsidRDefault="00DF580B" w:rsidP="00A575D1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Ogłoszenie o przetargu zostało podane do publicznej wiadomości na tablicy ogłoszeń Urzędu Miasta Puck, na stronie internetowej </w:t>
      </w:r>
      <w:hyperlink r:id="rId6" w:history="1">
        <w:r w:rsidR="006A765E" w:rsidRPr="00E40467">
          <w:rPr>
            <w:rStyle w:val="Hipercze"/>
            <w:rFonts w:ascii="Calibri" w:eastAsia="Times New Roman" w:hAnsi="Calibri" w:cs="Calibri"/>
            <w:sz w:val="22"/>
            <w:szCs w:val="22"/>
          </w:rPr>
          <w:t>https://miastopuck.pl/</w:t>
        </w:r>
      </w:hyperlink>
      <w:r w:rsidR="006A765E"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oraz na stronie Biuletyn Informacji Publicznej </w:t>
      </w:r>
      <w:hyperlink r:id="rId7" w:history="1">
        <w:r w:rsidR="00720C7F" w:rsidRPr="00E40467">
          <w:rPr>
            <w:rStyle w:val="Hipercze"/>
            <w:rFonts w:ascii="Calibri" w:eastAsia="Times New Roman" w:hAnsi="Calibri" w:cs="Calibri"/>
            <w:sz w:val="22"/>
            <w:szCs w:val="22"/>
          </w:rPr>
          <w:t>https://bip.miastopuck.pl/</w:t>
        </w:r>
      </w:hyperlink>
      <w:r w:rsidR="00720C7F"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3FEACC7" w14:textId="77777777" w:rsidR="004B36DD" w:rsidRPr="00E40467" w:rsidRDefault="007429B0" w:rsidP="00A575D1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Bliższych informacji o wyznaczonej nieruchomości można uzyskać w Referacie Gospodarki Nieruchomościami i Planowania Przestrzennego pok.</w:t>
      </w:r>
      <w:r w:rsidR="00451CAB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Fonts w:ascii="Calibri" w:hAnsi="Calibri" w:cs="Calibri"/>
          <w:sz w:val="22"/>
          <w:szCs w:val="22"/>
        </w:rPr>
        <w:t>103 Urzędu Miasta w Pucku przy ul. 1-go Maja 13, tel. (58) 673 05 2</w:t>
      </w:r>
      <w:r w:rsidR="00706D99" w:rsidRPr="00E40467">
        <w:rPr>
          <w:rFonts w:ascii="Calibri" w:hAnsi="Calibri" w:cs="Calibri"/>
          <w:sz w:val="22"/>
          <w:szCs w:val="22"/>
        </w:rPr>
        <w:t>4</w:t>
      </w:r>
      <w:r w:rsidR="004B36DD" w:rsidRPr="00E40467">
        <w:rPr>
          <w:rFonts w:ascii="Calibri" w:hAnsi="Calibri" w:cs="Calibri"/>
          <w:sz w:val="22"/>
          <w:szCs w:val="22"/>
        </w:rPr>
        <w:t xml:space="preserve">, lub pocztą elektroniczną e-mail: </w:t>
      </w:r>
      <w:hyperlink r:id="rId8" w:history="1">
        <w:r w:rsidR="004B36DD" w:rsidRPr="00E40467">
          <w:rPr>
            <w:rFonts w:ascii="Calibri" w:hAnsi="Calibri" w:cs="Calibri"/>
            <w:color w:val="0563C1"/>
            <w:sz w:val="22"/>
            <w:szCs w:val="22"/>
            <w:u w:val="single"/>
          </w:rPr>
          <w:t>dzierzawy@miastopuck.pl</w:t>
        </w:r>
      </w:hyperlink>
      <w:r w:rsidR="004B36DD" w:rsidRPr="00E40467">
        <w:rPr>
          <w:rFonts w:ascii="Calibri" w:hAnsi="Calibri" w:cs="Calibri"/>
          <w:sz w:val="22"/>
          <w:szCs w:val="22"/>
        </w:rPr>
        <w:t xml:space="preserve"> </w:t>
      </w:r>
    </w:p>
    <w:p w14:paraId="3C374AAD" w14:textId="77777777" w:rsidR="004B36DD" w:rsidRPr="00E40467" w:rsidRDefault="004B36DD" w:rsidP="00A575D1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Zastrzega się prawo odwołania przetargu z podaniem uzasadnionych przyczyn.</w:t>
      </w:r>
    </w:p>
    <w:p w14:paraId="30389668" w14:textId="77777777" w:rsidR="007429B0" w:rsidRPr="00E40467" w:rsidRDefault="007429B0" w:rsidP="004B36DD">
      <w:pPr>
        <w:pStyle w:val="Bezodstpw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5EED92B" w14:textId="77777777" w:rsidR="007429B0" w:rsidRPr="00E40467" w:rsidRDefault="007429B0" w:rsidP="007429B0">
      <w:pPr>
        <w:rPr>
          <w:rFonts w:ascii="Calibri" w:hAnsi="Calibri" w:cs="Calibri"/>
          <w:sz w:val="22"/>
          <w:szCs w:val="22"/>
        </w:rPr>
      </w:pPr>
    </w:p>
    <w:p w14:paraId="370E01BE" w14:textId="77777777" w:rsidR="00026CBE" w:rsidRPr="00E40467" w:rsidRDefault="00026CBE" w:rsidP="007429B0">
      <w:pPr>
        <w:rPr>
          <w:rFonts w:ascii="Calibri" w:hAnsi="Calibri" w:cs="Calibri"/>
        </w:rPr>
      </w:pPr>
    </w:p>
    <w:p w14:paraId="2F659590" w14:textId="77777777" w:rsidR="00AA204F" w:rsidRPr="00F66D4A" w:rsidRDefault="00AA204F" w:rsidP="007429B0">
      <w:pPr>
        <w:spacing w:line="360" w:lineRule="auto"/>
        <w:jc w:val="both"/>
        <w:rPr>
          <w:rFonts w:cs="Tahoma"/>
          <w:sz w:val="22"/>
          <w:szCs w:val="22"/>
        </w:rPr>
      </w:pPr>
    </w:p>
    <w:sectPr w:rsidR="00AA204F" w:rsidRPr="00F66D4A" w:rsidSect="00CB27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164"/>
    <w:multiLevelType w:val="hybridMultilevel"/>
    <w:tmpl w:val="1BE6AAB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68407E9"/>
    <w:multiLevelType w:val="hybridMultilevel"/>
    <w:tmpl w:val="C20CFFEC"/>
    <w:lvl w:ilvl="0" w:tplc="C15A4B4A">
      <w:start w:val="36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C8F"/>
    <w:multiLevelType w:val="hybridMultilevel"/>
    <w:tmpl w:val="92B46922"/>
    <w:lvl w:ilvl="0" w:tplc="81840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C4121"/>
    <w:multiLevelType w:val="hybridMultilevel"/>
    <w:tmpl w:val="1EA0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3045"/>
    <w:multiLevelType w:val="hybridMultilevel"/>
    <w:tmpl w:val="65BEB930"/>
    <w:lvl w:ilvl="0" w:tplc="1D9C5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0B7B"/>
    <w:multiLevelType w:val="hybridMultilevel"/>
    <w:tmpl w:val="1BA86E5A"/>
    <w:lvl w:ilvl="0" w:tplc="E6F4AA7A">
      <w:start w:val="1"/>
      <w:numFmt w:val="decimal"/>
      <w:lvlText w:val="%1)"/>
      <w:lvlJc w:val="left"/>
      <w:pPr>
        <w:ind w:left="983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02E3DEA">
      <w:start w:val="1"/>
      <w:numFmt w:val="lowerLetter"/>
      <w:lvlText w:val="%2)"/>
      <w:lvlJc w:val="left"/>
      <w:pPr>
        <w:ind w:left="126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46EAA92">
      <w:numFmt w:val="bullet"/>
      <w:lvlText w:val="•"/>
      <w:lvlJc w:val="left"/>
      <w:pPr>
        <w:ind w:left="2331" w:hanging="358"/>
      </w:pPr>
      <w:rPr>
        <w:rFonts w:hint="default"/>
        <w:lang w:val="pl-PL" w:eastAsia="en-US" w:bidi="ar-SA"/>
      </w:rPr>
    </w:lvl>
    <w:lvl w:ilvl="3" w:tplc="54BE6EC6">
      <w:numFmt w:val="bullet"/>
      <w:lvlText w:val="•"/>
      <w:lvlJc w:val="left"/>
      <w:pPr>
        <w:ind w:left="3402" w:hanging="358"/>
      </w:pPr>
      <w:rPr>
        <w:rFonts w:hint="default"/>
        <w:lang w:val="pl-PL" w:eastAsia="en-US" w:bidi="ar-SA"/>
      </w:rPr>
    </w:lvl>
    <w:lvl w:ilvl="4" w:tplc="3BB0536C">
      <w:numFmt w:val="bullet"/>
      <w:lvlText w:val="•"/>
      <w:lvlJc w:val="left"/>
      <w:pPr>
        <w:ind w:left="4473" w:hanging="358"/>
      </w:pPr>
      <w:rPr>
        <w:rFonts w:hint="default"/>
        <w:lang w:val="pl-PL" w:eastAsia="en-US" w:bidi="ar-SA"/>
      </w:rPr>
    </w:lvl>
    <w:lvl w:ilvl="5" w:tplc="C9F44D70">
      <w:numFmt w:val="bullet"/>
      <w:lvlText w:val="•"/>
      <w:lvlJc w:val="left"/>
      <w:pPr>
        <w:ind w:left="5544" w:hanging="358"/>
      </w:pPr>
      <w:rPr>
        <w:rFonts w:hint="default"/>
        <w:lang w:val="pl-PL" w:eastAsia="en-US" w:bidi="ar-SA"/>
      </w:rPr>
    </w:lvl>
    <w:lvl w:ilvl="6" w:tplc="593A9FB8">
      <w:numFmt w:val="bullet"/>
      <w:lvlText w:val="•"/>
      <w:lvlJc w:val="left"/>
      <w:pPr>
        <w:ind w:left="6615" w:hanging="358"/>
      </w:pPr>
      <w:rPr>
        <w:rFonts w:hint="default"/>
        <w:lang w:val="pl-PL" w:eastAsia="en-US" w:bidi="ar-SA"/>
      </w:rPr>
    </w:lvl>
    <w:lvl w:ilvl="7" w:tplc="D96A42FA">
      <w:numFmt w:val="bullet"/>
      <w:lvlText w:val="•"/>
      <w:lvlJc w:val="left"/>
      <w:pPr>
        <w:ind w:left="7686" w:hanging="358"/>
      </w:pPr>
      <w:rPr>
        <w:rFonts w:hint="default"/>
        <w:lang w:val="pl-PL" w:eastAsia="en-US" w:bidi="ar-SA"/>
      </w:rPr>
    </w:lvl>
    <w:lvl w:ilvl="8" w:tplc="DE608EC4">
      <w:numFmt w:val="bullet"/>
      <w:lvlText w:val="•"/>
      <w:lvlJc w:val="left"/>
      <w:pPr>
        <w:ind w:left="8757" w:hanging="358"/>
      </w:pPr>
      <w:rPr>
        <w:rFonts w:hint="default"/>
        <w:lang w:val="pl-PL" w:eastAsia="en-US" w:bidi="ar-SA"/>
      </w:rPr>
    </w:lvl>
  </w:abstractNum>
  <w:num w:numId="1" w16cid:durableId="1223638828">
    <w:abstractNumId w:val="4"/>
  </w:num>
  <w:num w:numId="2" w16cid:durableId="1061094670">
    <w:abstractNumId w:val="3"/>
  </w:num>
  <w:num w:numId="3" w16cid:durableId="563764176">
    <w:abstractNumId w:val="1"/>
  </w:num>
  <w:num w:numId="4" w16cid:durableId="98841825">
    <w:abstractNumId w:val="2"/>
  </w:num>
  <w:num w:numId="5" w16cid:durableId="1280838999">
    <w:abstractNumId w:val="5"/>
  </w:num>
  <w:num w:numId="6" w16cid:durableId="187473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2"/>
    <w:rsid w:val="0001482D"/>
    <w:rsid w:val="00026CBE"/>
    <w:rsid w:val="00034396"/>
    <w:rsid w:val="000373AA"/>
    <w:rsid w:val="00050A7B"/>
    <w:rsid w:val="00052505"/>
    <w:rsid w:val="00053EE7"/>
    <w:rsid w:val="00064EE5"/>
    <w:rsid w:val="00065663"/>
    <w:rsid w:val="000864E7"/>
    <w:rsid w:val="000A0F00"/>
    <w:rsid w:val="000A3C20"/>
    <w:rsid w:val="000C41D3"/>
    <w:rsid w:val="000C54A4"/>
    <w:rsid w:val="000D2B10"/>
    <w:rsid w:val="000D4C11"/>
    <w:rsid w:val="000D708C"/>
    <w:rsid w:val="000E32CE"/>
    <w:rsid w:val="001020CA"/>
    <w:rsid w:val="0012646D"/>
    <w:rsid w:val="0013126B"/>
    <w:rsid w:val="0013159A"/>
    <w:rsid w:val="00152352"/>
    <w:rsid w:val="00153E1A"/>
    <w:rsid w:val="0015768D"/>
    <w:rsid w:val="0016217E"/>
    <w:rsid w:val="001650BB"/>
    <w:rsid w:val="001653E2"/>
    <w:rsid w:val="00165F29"/>
    <w:rsid w:val="00166BAF"/>
    <w:rsid w:val="001701CD"/>
    <w:rsid w:val="00183C4E"/>
    <w:rsid w:val="00184EE7"/>
    <w:rsid w:val="0019382B"/>
    <w:rsid w:val="001948A7"/>
    <w:rsid w:val="001972EC"/>
    <w:rsid w:val="001A245D"/>
    <w:rsid w:val="001B1BEA"/>
    <w:rsid w:val="001C0227"/>
    <w:rsid w:val="001C080E"/>
    <w:rsid w:val="001C53F6"/>
    <w:rsid w:val="001E3235"/>
    <w:rsid w:val="001F528B"/>
    <w:rsid w:val="00203284"/>
    <w:rsid w:val="00205CA2"/>
    <w:rsid w:val="00213944"/>
    <w:rsid w:val="002167CF"/>
    <w:rsid w:val="00231E11"/>
    <w:rsid w:val="00232258"/>
    <w:rsid w:val="00234EF2"/>
    <w:rsid w:val="002513D5"/>
    <w:rsid w:val="0025784A"/>
    <w:rsid w:val="00262E9B"/>
    <w:rsid w:val="00277118"/>
    <w:rsid w:val="00280C68"/>
    <w:rsid w:val="002969ED"/>
    <w:rsid w:val="002A0F95"/>
    <w:rsid w:val="002A7D31"/>
    <w:rsid w:val="002B0380"/>
    <w:rsid w:val="002B6BCD"/>
    <w:rsid w:val="002D1473"/>
    <w:rsid w:val="002D7AC6"/>
    <w:rsid w:val="002F3CBF"/>
    <w:rsid w:val="003140E6"/>
    <w:rsid w:val="0031680F"/>
    <w:rsid w:val="00330AA1"/>
    <w:rsid w:val="00345FDE"/>
    <w:rsid w:val="00360BE2"/>
    <w:rsid w:val="003752F4"/>
    <w:rsid w:val="00376A17"/>
    <w:rsid w:val="003941CA"/>
    <w:rsid w:val="003B296D"/>
    <w:rsid w:val="003B7B15"/>
    <w:rsid w:val="003C5904"/>
    <w:rsid w:val="003D2918"/>
    <w:rsid w:val="003D328B"/>
    <w:rsid w:val="003E3B6B"/>
    <w:rsid w:val="003E4907"/>
    <w:rsid w:val="003F28A1"/>
    <w:rsid w:val="004020B1"/>
    <w:rsid w:val="0040682A"/>
    <w:rsid w:val="00434D4F"/>
    <w:rsid w:val="00435841"/>
    <w:rsid w:val="00444D74"/>
    <w:rsid w:val="00451CAB"/>
    <w:rsid w:val="004560BC"/>
    <w:rsid w:val="004618C1"/>
    <w:rsid w:val="00461EF4"/>
    <w:rsid w:val="00463737"/>
    <w:rsid w:val="00475846"/>
    <w:rsid w:val="00490C13"/>
    <w:rsid w:val="0049445B"/>
    <w:rsid w:val="004A0830"/>
    <w:rsid w:val="004A36A0"/>
    <w:rsid w:val="004A74DB"/>
    <w:rsid w:val="004B2E44"/>
    <w:rsid w:val="004B36DD"/>
    <w:rsid w:val="004C0DF5"/>
    <w:rsid w:val="004C151E"/>
    <w:rsid w:val="004D2113"/>
    <w:rsid w:val="004D5F4C"/>
    <w:rsid w:val="004E0535"/>
    <w:rsid w:val="004E4812"/>
    <w:rsid w:val="004F0C63"/>
    <w:rsid w:val="00502E17"/>
    <w:rsid w:val="005068DB"/>
    <w:rsid w:val="00507B3C"/>
    <w:rsid w:val="00515095"/>
    <w:rsid w:val="00515D7F"/>
    <w:rsid w:val="00537968"/>
    <w:rsid w:val="00544A6C"/>
    <w:rsid w:val="00545706"/>
    <w:rsid w:val="0054774E"/>
    <w:rsid w:val="00550AB9"/>
    <w:rsid w:val="00562B9F"/>
    <w:rsid w:val="00567FAA"/>
    <w:rsid w:val="00572647"/>
    <w:rsid w:val="00580671"/>
    <w:rsid w:val="00594E3F"/>
    <w:rsid w:val="005972AF"/>
    <w:rsid w:val="005A4C53"/>
    <w:rsid w:val="005B34FE"/>
    <w:rsid w:val="005B648A"/>
    <w:rsid w:val="005B6CAC"/>
    <w:rsid w:val="005C4E93"/>
    <w:rsid w:val="005C6F50"/>
    <w:rsid w:val="005E4A29"/>
    <w:rsid w:val="005F2F8C"/>
    <w:rsid w:val="005F53FD"/>
    <w:rsid w:val="00616A8C"/>
    <w:rsid w:val="00622953"/>
    <w:rsid w:val="006538E0"/>
    <w:rsid w:val="00656B8A"/>
    <w:rsid w:val="00665B32"/>
    <w:rsid w:val="00674F24"/>
    <w:rsid w:val="00681DEF"/>
    <w:rsid w:val="00697ED7"/>
    <w:rsid w:val="006A765E"/>
    <w:rsid w:val="006A76F3"/>
    <w:rsid w:val="006C1740"/>
    <w:rsid w:val="006D0DBF"/>
    <w:rsid w:val="006D54D0"/>
    <w:rsid w:val="006D55A4"/>
    <w:rsid w:val="006E3D2B"/>
    <w:rsid w:val="006F3912"/>
    <w:rsid w:val="006F39A6"/>
    <w:rsid w:val="006F4746"/>
    <w:rsid w:val="006F7BA3"/>
    <w:rsid w:val="006F7F54"/>
    <w:rsid w:val="007032A2"/>
    <w:rsid w:val="00706D99"/>
    <w:rsid w:val="00714FBC"/>
    <w:rsid w:val="00720C7F"/>
    <w:rsid w:val="0072255B"/>
    <w:rsid w:val="00723333"/>
    <w:rsid w:val="007236BE"/>
    <w:rsid w:val="00723FFA"/>
    <w:rsid w:val="00732D08"/>
    <w:rsid w:val="00734927"/>
    <w:rsid w:val="007417EC"/>
    <w:rsid w:val="007429B0"/>
    <w:rsid w:val="00747762"/>
    <w:rsid w:val="00747B7E"/>
    <w:rsid w:val="00752F3F"/>
    <w:rsid w:val="007630D9"/>
    <w:rsid w:val="0076539D"/>
    <w:rsid w:val="00771738"/>
    <w:rsid w:val="00772AF7"/>
    <w:rsid w:val="007749A0"/>
    <w:rsid w:val="00775CB4"/>
    <w:rsid w:val="007819E9"/>
    <w:rsid w:val="00782184"/>
    <w:rsid w:val="00784CAE"/>
    <w:rsid w:val="00790547"/>
    <w:rsid w:val="00796AA8"/>
    <w:rsid w:val="007A678A"/>
    <w:rsid w:val="007A7F51"/>
    <w:rsid w:val="007C1A6E"/>
    <w:rsid w:val="007C5A0B"/>
    <w:rsid w:val="007C70BB"/>
    <w:rsid w:val="007C7D28"/>
    <w:rsid w:val="007D50C7"/>
    <w:rsid w:val="007F1474"/>
    <w:rsid w:val="007F7A4A"/>
    <w:rsid w:val="008068A3"/>
    <w:rsid w:val="00814B6A"/>
    <w:rsid w:val="00821574"/>
    <w:rsid w:val="00831379"/>
    <w:rsid w:val="00833A85"/>
    <w:rsid w:val="008346BF"/>
    <w:rsid w:val="0084251A"/>
    <w:rsid w:val="00844A2F"/>
    <w:rsid w:val="00852CB2"/>
    <w:rsid w:val="00857E71"/>
    <w:rsid w:val="008760D6"/>
    <w:rsid w:val="00882433"/>
    <w:rsid w:val="00893304"/>
    <w:rsid w:val="00893B7F"/>
    <w:rsid w:val="00896353"/>
    <w:rsid w:val="008A7AEA"/>
    <w:rsid w:val="008B011A"/>
    <w:rsid w:val="008C3B23"/>
    <w:rsid w:val="008D0568"/>
    <w:rsid w:val="0090288E"/>
    <w:rsid w:val="0090526B"/>
    <w:rsid w:val="00906C35"/>
    <w:rsid w:val="00913004"/>
    <w:rsid w:val="009310B7"/>
    <w:rsid w:val="00932730"/>
    <w:rsid w:val="009436E9"/>
    <w:rsid w:val="00955243"/>
    <w:rsid w:val="00965377"/>
    <w:rsid w:val="0098753F"/>
    <w:rsid w:val="009A675B"/>
    <w:rsid w:val="009B1E2C"/>
    <w:rsid w:val="009B4B4C"/>
    <w:rsid w:val="009C6A2B"/>
    <w:rsid w:val="009D745A"/>
    <w:rsid w:val="009E28F6"/>
    <w:rsid w:val="009F7D0B"/>
    <w:rsid w:val="00A17C37"/>
    <w:rsid w:val="00A21EDE"/>
    <w:rsid w:val="00A232F3"/>
    <w:rsid w:val="00A30C22"/>
    <w:rsid w:val="00A40EAA"/>
    <w:rsid w:val="00A44684"/>
    <w:rsid w:val="00A512E4"/>
    <w:rsid w:val="00A5191A"/>
    <w:rsid w:val="00A535D9"/>
    <w:rsid w:val="00A575D1"/>
    <w:rsid w:val="00A723E7"/>
    <w:rsid w:val="00A80031"/>
    <w:rsid w:val="00A93E3E"/>
    <w:rsid w:val="00AA1C58"/>
    <w:rsid w:val="00AA204F"/>
    <w:rsid w:val="00AA4527"/>
    <w:rsid w:val="00AA4E7C"/>
    <w:rsid w:val="00AB3912"/>
    <w:rsid w:val="00AC6297"/>
    <w:rsid w:val="00AE4913"/>
    <w:rsid w:val="00AE5E76"/>
    <w:rsid w:val="00AF69D7"/>
    <w:rsid w:val="00B24A83"/>
    <w:rsid w:val="00B3367C"/>
    <w:rsid w:val="00B47B4A"/>
    <w:rsid w:val="00B83F70"/>
    <w:rsid w:val="00BA4E36"/>
    <w:rsid w:val="00BB6BFD"/>
    <w:rsid w:val="00BD6089"/>
    <w:rsid w:val="00BE4529"/>
    <w:rsid w:val="00BF1A0B"/>
    <w:rsid w:val="00C1186F"/>
    <w:rsid w:val="00C12D21"/>
    <w:rsid w:val="00C14462"/>
    <w:rsid w:val="00C4002D"/>
    <w:rsid w:val="00C56AE8"/>
    <w:rsid w:val="00C57238"/>
    <w:rsid w:val="00C624AF"/>
    <w:rsid w:val="00C6317D"/>
    <w:rsid w:val="00C845B0"/>
    <w:rsid w:val="00C9418B"/>
    <w:rsid w:val="00C97887"/>
    <w:rsid w:val="00CA1473"/>
    <w:rsid w:val="00CB16C7"/>
    <w:rsid w:val="00CB276C"/>
    <w:rsid w:val="00CC44C5"/>
    <w:rsid w:val="00CE4C7A"/>
    <w:rsid w:val="00CF60D4"/>
    <w:rsid w:val="00D05FCC"/>
    <w:rsid w:val="00D160AD"/>
    <w:rsid w:val="00D17285"/>
    <w:rsid w:val="00D21C22"/>
    <w:rsid w:val="00D3295C"/>
    <w:rsid w:val="00D43AAD"/>
    <w:rsid w:val="00D46CB7"/>
    <w:rsid w:val="00D81381"/>
    <w:rsid w:val="00D94E14"/>
    <w:rsid w:val="00D97A14"/>
    <w:rsid w:val="00DB6A01"/>
    <w:rsid w:val="00DC37E6"/>
    <w:rsid w:val="00DC39F7"/>
    <w:rsid w:val="00DD0AA5"/>
    <w:rsid w:val="00DE6AB5"/>
    <w:rsid w:val="00DF3908"/>
    <w:rsid w:val="00DF580B"/>
    <w:rsid w:val="00E001A6"/>
    <w:rsid w:val="00E019B2"/>
    <w:rsid w:val="00E23DE5"/>
    <w:rsid w:val="00E27416"/>
    <w:rsid w:val="00E40467"/>
    <w:rsid w:val="00E55193"/>
    <w:rsid w:val="00E87138"/>
    <w:rsid w:val="00E95A0B"/>
    <w:rsid w:val="00EA0B61"/>
    <w:rsid w:val="00EA4E89"/>
    <w:rsid w:val="00EB530C"/>
    <w:rsid w:val="00EC55AF"/>
    <w:rsid w:val="00ED2D6E"/>
    <w:rsid w:val="00ED46D3"/>
    <w:rsid w:val="00ED4921"/>
    <w:rsid w:val="00EE49B6"/>
    <w:rsid w:val="00EE7F9D"/>
    <w:rsid w:val="00EF607F"/>
    <w:rsid w:val="00F02922"/>
    <w:rsid w:val="00F15CD6"/>
    <w:rsid w:val="00F23DE9"/>
    <w:rsid w:val="00F25602"/>
    <w:rsid w:val="00F358CE"/>
    <w:rsid w:val="00F54758"/>
    <w:rsid w:val="00F568D8"/>
    <w:rsid w:val="00F66D4A"/>
    <w:rsid w:val="00F733DA"/>
    <w:rsid w:val="00F74A0E"/>
    <w:rsid w:val="00F92BEC"/>
    <w:rsid w:val="00F934AC"/>
    <w:rsid w:val="00FA6E1D"/>
    <w:rsid w:val="00FB3293"/>
    <w:rsid w:val="00FB43EB"/>
    <w:rsid w:val="00FB6C07"/>
    <w:rsid w:val="00FD161F"/>
    <w:rsid w:val="00FD1DEB"/>
    <w:rsid w:val="00FE553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99AC5"/>
  <w15:chartTrackingRefBased/>
  <w15:docId w15:val="{60790060-1700-4EB8-854B-563B79E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95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5095"/>
    <w:pPr>
      <w:ind w:firstLine="708"/>
      <w:jc w:val="both"/>
    </w:pPr>
  </w:style>
  <w:style w:type="paragraph" w:customStyle="1" w:styleId="Zawartotabeli">
    <w:name w:val="Zawartość tabeli"/>
    <w:basedOn w:val="Normalny"/>
    <w:rsid w:val="00515095"/>
    <w:pPr>
      <w:suppressLineNumbers/>
    </w:pPr>
  </w:style>
  <w:style w:type="paragraph" w:customStyle="1" w:styleId="Nagwektabeli">
    <w:name w:val="Nagłówek tabeli"/>
    <w:basedOn w:val="Zawartotabeli"/>
    <w:rsid w:val="00515095"/>
    <w:pPr>
      <w:jc w:val="center"/>
    </w:pPr>
    <w:rPr>
      <w:b/>
      <w:bCs/>
      <w:i/>
      <w:iCs/>
    </w:rPr>
  </w:style>
  <w:style w:type="character" w:customStyle="1" w:styleId="WW8Num1z1">
    <w:name w:val="WW8Num1z1"/>
    <w:rsid w:val="0043584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567FAA"/>
  </w:style>
  <w:style w:type="paragraph" w:styleId="Tekstdymka">
    <w:name w:val="Balloon Text"/>
    <w:basedOn w:val="Normalny"/>
    <w:semiHidden/>
    <w:rsid w:val="00562B9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C70B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kapitdomyslny1">
    <w:name w:val="akapitdomyslny1"/>
    <w:basedOn w:val="Domylnaczcionkaakapitu"/>
    <w:rsid w:val="007C70BB"/>
  </w:style>
  <w:style w:type="paragraph" w:styleId="Bezodstpw">
    <w:name w:val="No Spacing"/>
    <w:uiPriority w:val="1"/>
    <w:qFormat/>
    <w:rsid w:val="007429B0"/>
    <w:pPr>
      <w:widowControl w:val="0"/>
      <w:suppressAutoHyphens/>
    </w:pPr>
    <w:rPr>
      <w:rFonts w:eastAsia="Lucida Sans Unicode"/>
      <w:sz w:val="24"/>
    </w:rPr>
  </w:style>
  <w:style w:type="character" w:customStyle="1" w:styleId="TekstpodstawowywcityZnak">
    <w:name w:val="Tekst podstawowy wcięty Znak"/>
    <w:link w:val="Tekstpodstawowywcity"/>
    <w:rsid w:val="00844A2F"/>
    <w:rPr>
      <w:rFonts w:eastAsia="Lucida Sans Unicode"/>
      <w:sz w:val="24"/>
    </w:rPr>
  </w:style>
  <w:style w:type="paragraph" w:customStyle="1" w:styleId="Default">
    <w:name w:val="Default"/>
    <w:rsid w:val="00EE49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80B"/>
    <w:pPr>
      <w:ind w:left="708"/>
    </w:pPr>
  </w:style>
  <w:style w:type="character" w:styleId="Hipercze">
    <w:name w:val="Hyperlink"/>
    <w:uiPriority w:val="99"/>
    <w:unhideWhenUsed/>
    <w:rsid w:val="006A765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A765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C6F50"/>
  </w:style>
  <w:style w:type="paragraph" w:customStyle="1" w:styleId="TableParagraph">
    <w:name w:val="Table Paragraph"/>
    <w:basedOn w:val="Normalny"/>
    <w:uiPriority w:val="1"/>
    <w:qFormat/>
    <w:rsid w:val="004618C1"/>
    <w:pPr>
      <w:suppressAutoHyphens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7E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37E6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rzawy@miastopuc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miastopuc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stopuck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3BF0-1983-4ECB-91FA-4E7AD93A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Puck</vt:lpstr>
    </vt:vector>
  </TitlesOfParts>
  <Company>ump</Company>
  <LinksUpToDate>false</LinksUpToDate>
  <CharactersWithSpaces>8133</CharactersWithSpaces>
  <SharedDoc>false</SharedDoc>
  <HLinks>
    <vt:vector size="18" baseType="variant">
      <vt:variant>
        <vt:i4>2883587</vt:i4>
      </vt:variant>
      <vt:variant>
        <vt:i4>6</vt:i4>
      </vt:variant>
      <vt:variant>
        <vt:i4>0</vt:i4>
      </vt:variant>
      <vt:variant>
        <vt:i4>5</vt:i4>
      </vt:variant>
      <vt:variant>
        <vt:lpwstr>mailto:dzierzawy@miastopuck.pl</vt:lpwstr>
      </vt:variant>
      <vt:variant>
        <vt:lpwstr/>
      </vt:variant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https://bip.miastopuck.pl/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https://miastopuck.pl/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Puck</dc:title>
  <dc:subject/>
  <dc:creator>kaka</dc:creator>
  <cp:keywords/>
  <cp:lastModifiedBy>Sabina Styn</cp:lastModifiedBy>
  <cp:revision>6</cp:revision>
  <cp:lastPrinted>2023-10-26T13:26:00Z</cp:lastPrinted>
  <dcterms:created xsi:type="dcterms:W3CDTF">2023-10-26T13:00:00Z</dcterms:created>
  <dcterms:modified xsi:type="dcterms:W3CDTF">2023-10-26T13:27:00Z</dcterms:modified>
</cp:coreProperties>
</file>